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center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מדריך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למורה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סרטון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בהנדסה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השיעור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מגישות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בסטומסקי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ורבקה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מדפית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ריבי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פינסקי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רעיונות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והדגשים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במישור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ממדית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אורך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ורוחב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במרחב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ממדי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אורך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רוחב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וגובה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נפח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ממדי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הבנוי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ממצולעים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תיבה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מנסרה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מלבנים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היסודי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עוסקים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בגופים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מנסרה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המעטפת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מלבנים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מקביליות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פירמידה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-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המעטפת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משולשים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שוקיים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גליל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גליל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העומד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מבסיסיו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המעטפת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זקופה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נוטה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התחתון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חרוט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הקטע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קודקוד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החרוט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העיגול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מאונך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למישור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העיגול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הקודקוד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העיגול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מטרה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כללית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פיתוח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מרחבית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במישור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ובמרחב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יבחין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במישור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לגוף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במרחב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יכיר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וישיים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יתאר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וישתמש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במונחים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שנלמדו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ימיין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לקבוצות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החיצוני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יחקור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מהיבטים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קודקודים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ומספר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צלעות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יזהה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בסביבתו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יתאים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לציורים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לתצלומים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הנלמד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ואמצעי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המחשה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.(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שיפודים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ופלסטלינה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מושגים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מתמטיות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אופרטיביות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לדרישות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בהתאמה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פאונים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הבנויים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ממצולעים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המצולעים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שמהם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הפאון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צלעות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הצלעות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הפאות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קודקוד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הקודקוד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הקודקודים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מנסרה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מצולעים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חופפים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ומקבילים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פאותיה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מלבנים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תיבה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פאותיו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מלבנים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קוביה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תיבה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פאותיה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ריבועים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משוכלל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פרמידה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בנויה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ממעטפת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שכולה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משולשים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קודקוד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משותף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ומבסיס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מצולע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גליל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לגליל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עיגולים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חופפים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ומקבילים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ומעטפת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מתוחה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המקיפה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העיגולים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קוראים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בסיסי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הגליל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חרוט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עיגול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קודקוד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הנמצא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לעיגול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ומעטפת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מתוחה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המקיפה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הקודקוד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ומעטפת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מתוחה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מושגי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שיעור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הגופים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המושגים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מבוססים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רצף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ההוראה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שיעור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בנושאים</w:t>
      </w:r>
      <w:r w:rsidDel="00000000" w:rsidR="00000000" w:rsidRPr="00000000">
        <w:rPr>
          <w:rFonts w:ascii="Fb Campus Medium" w:cs="Fb Campus Medium" w:eastAsia="Fb Campus Medium" w:hAnsi="Fb Campus Mediu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75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2"/>
        <w:gridCol w:w="1704"/>
        <w:gridCol w:w="1704"/>
        <w:gridCol w:w="1705"/>
        <w:gridCol w:w="1705"/>
        <w:tblGridChange w:id="0">
          <w:tblGrid>
            <w:gridCol w:w="1932"/>
            <w:gridCol w:w="1704"/>
            <w:gridCol w:w="1704"/>
            <w:gridCol w:w="1705"/>
            <w:gridCol w:w="1705"/>
          </w:tblGrid>
        </w:tblGridChange>
      </w:tblGrid>
      <w:tr>
        <w:trPr>
          <w:trHeight w:val="1102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מצולעים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חזרה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1"/>
              </w:rPr>
              <w:t xml:space="preserve">הכרת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1"/>
              </w:rPr>
              <w:t xml:space="preserve">הגופים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1"/>
              </w:rPr>
              <w:t xml:space="preserve">מיון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1"/>
              </w:rPr>
              <w:t xml:space="preserve">גופים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1"/>
              </w:rPr>
              <w:t xml:space="preserve">פאות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1"/>
              </w:rPr>
              <w:t xml:space="preserve">צלעות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1"/>
              </w:rPr>
              <w:t xml:space="preserve">וקודקודים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מדידת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אורך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Fb Campus Medium" w:cs="Fb Campus Medium" w:eastAsia="Fb Campus Medium" w:hAnsi="Fb Campus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ושטח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5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4394"/>
        <w:gridCol w:w="1560"/>
        <w:tblGridChange w:id="0">
          <w:tblGrid>
            <w:gridCol w:w="3402"/>
            <w:gridCol w:w="4394"/>
            <w:gridCol w:w="15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Assistant ExtraBold" w:cs="Assistant ExtraBold" w:eastAsia="Assistant ExtraBold" w:hAnsi="Assistant Extra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השלב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Assistant ExtraBold" w:cs="Assistant ExtraBold" w:eastAsia="Assistant ExtraBold" w:hAnsi="Assistant Extra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שק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והדגשים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Assistant ExtraBold" w:cs="Assistant ExtraBold" w:eastAsia="Assistant ExtraBold" w:hAnsi="Assistant Extra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רמת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החשיבה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פי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ואן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 ExtraBold" w:cs="Assistant ExtraBold" w:eastAsia="Assistant ExtraBold" w:hAnsi="Assistant ExtraBol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הילה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60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שמות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הגופים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הבדלה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לצורה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נלמד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ההגדרה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המתאימה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לגוף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ההבדל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צורה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נשחק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משחק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התלמידים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ימיינו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צורה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גופים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בסביבה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התלמידים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יזהו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גופים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בסביבתם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מרכיבי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הגופים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נעבור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ונפרט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מרכיבי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המחשה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העלאת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השערות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הגופים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לפי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קבוצות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שאלת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העשרה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לתלמידים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הייתם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ממיינים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הגופים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פעילות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סיכום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התלמידים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ייבנו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הגופים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באמצעות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קיסמי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ומרשמלו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ימלאו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תעודת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זהות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התלמיד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ירענן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זכרונו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ויזהה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הגופים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בשמם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המשחק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חוויתי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לתרגול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רלוונטיות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הנושא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לחיי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התלמידים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היכולת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לזהות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גופים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גאומטריים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בתצלומים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ובסביבה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טבעית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חשובה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לפיתוח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תפיסה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גאומטרית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לתת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לתלמידים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תחושה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הבדלים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פאה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צלע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וקודקוד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נבצע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שלוש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תנועות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המאפיינות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פאה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החלקה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מדגיש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המישוריות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צלע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גרירה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מדגיש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שלצלע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שטח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קודקוד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הצבעה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התנועה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מדגישה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שהקודקוד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נקודה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אפשרויות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מתגלגלים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מתגלגלים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שפיץ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בולט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שפיץ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בולט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בנויים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ממצולעים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ממצולעים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סיכום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הנלמד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בדרך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חוויתית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הבניה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העצמית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עוזרת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להתבוננות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קפדנית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יותר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התלמידים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במרכיבי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הגוף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הכרה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אנליזה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אנליזה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אנליזה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אנליזה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אנליזה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וסידור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Fb Campus Medium" w:cs="Fb Campus Medium" w:eastAsia="Fb Campus Medium" w:hAnsi="Fb Campus Mediu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ssistant ExtraBold">
    <w:embedBold w:fontKey="{00000000-0000-0000-0000-000000000000}" r:id="rId1" w:subsetted="0"/>
  </w:font>
  <w:font w:name="Fb Campus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Extra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