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9D" w:rsidRDefault="00D4739D" w:rsidP="00D4739D">
      <w:pPr>
        <w:jc w:val="both"/>
      </w:pPr>
    </w:p>
    <w:p w:rsidR="00ED61E4" w:rsidRDefault="00ED61E4" w:rsidP="00D4739D">
      <w:pPr>
        <w:jc w:val="both"/>
        <w:rPr>
          <w:rtl/>
        </w:rPr>
        <w:sectPr w:rsidR="00ED61E4" w:rsidSect="00572C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6838" w:h="11906" w:orient="landscape"/>
          <w:pgMar w:top="426" w:right="1440" w:bottom="1800" w:left="1440" w:header="708" w:footer="708" w:gutter="0"/>
          <w:cols w:space="708"/>
          <w:bidi/>
          <w:rtlGutter/>
          <w:docGrid w:linePitch="360"/>
        </w:sectPr>
      </w:pPr>
    </w:p>
    <w:p w:rsidR="0051544C" w:rsidRDefault="0051544C" w:rsidP="00D4739D">
      <w:pPr>
        <w:jc w:val="both"/>
      </w:pPr>
      <w:r>
        <w:rPr>
          <w:rFonts w:hint="cs"/>
          <w:rtl/>
        </w:rPr>
        <w:lastRenderedPageBreak/>
        <w:t>שיעורי חסידות בביה"ס היסודי, החל מכיתה א', כשמם כן הם: לומדים בהם את תורת החסידות:</w:t>
      </w:r>
    </w:p>
    <w:p w:rsidR="0010363D" w:rsidRDefault="0051544C" w:rsidP="00D4739D">
      <w:pPr>
        <w:jc w:val="both"/>
        <w:rPr>
          <w:rtl/>
        </w:rPr>
      </w:pPr>
      <w:r>
        <w:rPr>
          <w:rFonts w:hint="cs"/>
          <w:rtl/>
        </w:rPr>
        <w:t>"הדברים הנאמרים בפני הילדים אינם (כפי שיכולים לטעות ולחשוב) "עניינים ילדותיים" ("</w:t>
      </w:r>
      <w:proofErr w:type="spellStart"/>
      <w:r>
        <w:rPr>
          <w:rFonts w:hint="cs"/>
          <w:rtl/>
        </w:rPr>
        <w:t>קינדערשע</w:t>
      </w:r>
      <w:proofErr w:type="spellEnd"/>
      <w:r>
        <w:rPr>
          <w:rFonts w:hint="cs"/>
          <w:rtl/>
        </w:rPr>
        <w:t xml:space="preserve"> עניינים") כי אם </w:t>
      </w:r>
      <w:r w:rsidRPr="0051544C">
        <w:rPr>
          <w:rFonts w:hint="cs"/>
          <w:b/>
          <w:bCs/>
          <w:rtl/>
        </w:rPr>
        <w:t>אותם</w:t>
      </w:r>
      <w:r>
        <w:rPr>
          <w:rFonts w:hint="cs"/>
          <w:rtl/>
        </w:rPr>
        <w:t xml:space="preserve"> עניני התורה שלומדים עם גדולים בשנים, עד לגדולים בידיעות, אלא, שמסבירים זאת ב</w:t>
      </w:r>
      <w:r w:rsidRPr="0010363D">
        <w:rPr>
          <w:rFonts w:hint="cs"/>
          <w:b/>
          <w:bCs/>
          <w:rtl/>
        </w:rPr>
        <w:t>סגנון</w:t>
      </w:r>
      <w:r>
        <w:rPr>
          <w:rFonts w:hint="cs"/>
          <w:rtl/>
        </w:rPr>
        <w:t xml:space="preserve"> השייך להבנתם של ילדים."</w:t>
      </w:r>
      <w:r w:rsidR="0010363D">
        <w:rPr>
          <w:rFonts w:hint="cs"/>
          <w:rtl/>
        </w:rPr>
        <w:t xml:space="preserve"> (ש"פ ראה תשמ"ו, ובעוד מקומות)</w:t>
      </w:r>
    </w:p>
    <w:p w:rsidR="0010363D" w:rsidRDefault="0010363D" w:rsidP="00D4739D">
      <w:pPr>
        <w:jc w:val="both"/>
        <w:rPr>
          <w:rtl/>
        </w:rPr>
      </w:pPr>
    </w:p>
    <w:p w:rsidR="0010363D" w:rsidRDefault="0010363D" w:rsidP="00ED61E4">
      <w:pPr>
        <w:jc w:val="both"/>
        <w:rPr>
          <w:rtl/>
        </w:rPr>
      </w:pPr>
      <w:r>
        <w:rPr>
          <w:rFonts w:hint="cs"/>
          <w:rtl/>
        </w:rPr>
        <w:t xml:space="preserve">בכיתה א' יכירו התלמידים את </w:t>
      </w:r>
      <w:r w:rsidR="00C26AA2" w:rsidRPr="00D4739D">
        <w:rPr>
          <w:rFonts w:hint="cs"/>
          <w:b/>
          <w:bCs/>
          <w:rtl/>
        </w:rPr>
        <w:t>דרכי</w:t>
      </w:r>
      <w:r w:rsidRPr="00D4739D">
        <w:rPr>
          <w:rFonts w:hint="cs"/>
          <w:b/>
          <w:bCs/>
          <w:rtl/>
        </w:rPr>
        <w:t xml:space="preserve"> החסידות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D61E4">
        <w:rPr>
          <w:rFonts w:hint="cs"/>
          <w:rtl/>
        </w:rPr>
        <w:t>מהות</w:t>
      </w:r>
      <w:r>
        <w:rPr>
          <w:rFonts w:hint="cs"/>
          <w:rtl/>
        </w:rPr>
        <w:t xml:space="preserve"> היהודי</w:t>
      </w:r>
      <w:r w:rsidR="00ED61E4">
        <w:rPr>
          <w:rFonts w:hint="cs"/>
          <w:rtl/>
        </w:rPr>
        <w:t xml:space="preserve"> ומעלתו</w:t>
      </w:r>
      <w:r>
        <w:rPr>
          <w:rFonts w:hint="cs"/>
          <w:rtl/>
        </w:rPr>
        <w:t>, שמחה ובטחון, השגחה פרטית, התקשרות, ואמונה איתנה בביאת המשיח.</w:t>
      </w:r>
    </w:p>
    <w:p w:rsidR="0010363D" w:rsidRDefault="0010363D" w:rsidP="00D4739D">
      <w:pPr>
        <w:jc w:val="both"/>
        <w:rPr>
          <w:rtl/>
        </w:rPr>
      </w:pPr>
      <w:r>
        <w:rPr>
          <w:rFonts w:hint="cs"/>
          <w:rtl/>
        </w:rPr>
        <w:t xml:space="preserve">לימוד זה יתבצע באמצעות סיפורים מרבותינו נשיאינו, בהתאם לדברי אדמו"ר הזקן: "שמיעת תורה מאת הרבי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עבורנו תורה שבע"פ, אולם שמיעת סיפור מאת הרבי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עבורנו תורה שבכתב"</w:t>
      </w:r>
      <w:r w:rsidR="00B64EDB">
        <w:rPr>
          <w:rFonts w:hint="cs"/>
          <w:rtl/>
        </w:rPr>
        <w:t xml:space="preserve">  (</w:t>
      </w:r>
      <w:proofErr w:type="spellStart"/>
      <w:r w:rsidR="00B64EDB">
        <w:rPr>
          <w:rFonts w:hint="cs"/>
          <w:rtl/>
        </w:rPr>
        <w:t>אג"ק</w:t>
      </w:r>
      <w:proofErr w:type="spellEnd"/>
      <w:r w:rsidR="00B64EDB">
        <w:rPr>
          <w:rFonts w:hint="cs"/>
          <w:rtl/>
        </w:rPr>
        <w:t xml:space="preserve"> </w:t>
      </w:r>
      <w:proofErr w:type="spellStart"/>
      <w:r w:rsidR="00B64EDB">
        <w:rPr>
          <w:rFonts w:hint="cs"/>
          <w:rtl/>
        </w:rPr>
        <w:t>אדמוהריי"צ</w:t>
      </w:r>
      <w:proofErr w:type="spellEnd"/>
      <w:r w:rsidR="00B64EDB">
        <w:rPr>
          <w:rFonts w:hint="cs"/>
          <w:rtl/>
        </w:rPr>
        <w:t xml:space="preserve"> ח"ד עמ' ס"ה)</w:t>
      </w:r>
      <w:r>
        <w:rPr>
          <w:rFonts w:hint="cs"/>
          <w:rtl/>
        </w:rPr>
        <w:t>.</w:t>
      </w:r>
    </w:p>
    <w:p w:rsidR="0010363D" w:rsidRDefault="0010363D" w:rsidP="00D4739D">
      <w:pPr>
        <w:jc w:val="both"/>
        <w:rPr>
          <w:rtl/>
        </w:rPr>
      </w:pPr>
      <w:r>
        <w:rPr>
          <w:rFonts w:hint="cs"/>
          <w:rtl/>
        </w:rPr>
        <w:t>בסיפור חסידי ישנו עומק, וטמונה בו הוראה. סיפור חסידי מפשט מושגים עמוקים, ממחיש אותם, ומקרב אותם אל לב השומע.</w:t>
      </w:r>
    </w:p>
    <w:p w:rsidR="0010363D" w:rsidRDefault="0010363D" w:rsidP="00ED61E4">
      <w:pPr>
        <w:jc w:val="both"/>
        <w:rPr>
          <w:rtl/>
        </w:rPr>
      </w:pPr>
      <w:r>
        <w:rPr>
          <w:rFonts w:hint="cs"/>
          <w:rtl/>
        </w:rPr>
        <w:t>על-כן, אין מתאים יותר מסיפורים חסידיים להקניית מושגים חסידיים לילדים צעירים.</w:t>
      </w:r>
    </w:p>
    <w:p w:rsidR="002A121A" w:rsidRDefault="002A121A" w:rsidP="002A121A">
      <w:pPr>
        <w:jc w:val="center"/>
        <w:rPr>
          <w:rtl/>
        </w:rPr>
      </w:pPr>
      <w:r>
        <w:rPr>
          <w:rFonts w:hint="cs"/>
        </w:rPr>
        <w:lastRenderedPageBreak/>
        <w:sym w:font="Wingdings 2" w:char="F062"/>
      </w:r>
      <w:r>
        <w:t xml:space="preserve"> </w:t>
      </w:r>
      <w:r>
        <w:rPr>
          <w:rFonts w:hint="cs"/>
        </w:rPr>
        <w:sym w:font="Wingdings 2" w:char="F061"/>
      </w:r>
    </w:p>
    <w:p w:rsidR="009A4D9D" w:rsidRPr="0088392D" w:rsidRDefault="009A4D9D" w:rsidP="0088392D">
      <w:pPr>
        <w:jc w:val="both"/>
        <w:rPr>
          <w:rtl/>
        </w:rPr>
      </w:pPr>
      <w:r>
        <w:rPr>
          <w:rFonts w:hint="cs"/>
          <w:rtl/>
        </w:rPr>
        <w:t xml:space="preserve">התוכנית שלהלן מציגה את המסרים והערכים שהתלמידים ירכשו בכל אחד מדרכי החסידות הנ"ל, </w:t>
      </w:r>
      <w:proofErr w:type="spellStart"/>
      <w:r>
        <w:rPr>
          <w:rFonts w:hint="cs"/>
          <w:rtl/>
        </w:rPr>
        <w:t>ולצידם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סיפורים מתאימים.* הצעות לפעילויות ודפי עבודה ניתן למצוא באתר הרשת בקישור </w:t>
      </w:r>
      <w:r w:rsidR="0088392D" w:rsidRPr="0088392D">
        <w:t>http://www.reshetch.org.il/?aid=137902</w:t>
      </w:r>
    </w:p>
    <w:p w:rsidR="009A4D9D" w:rsidRDefault="009A4D9D" w:rsidP="009A4D9D">
      <w:pPr>
        <w:jc w:val="both"/>
        <w:rPr>
          <w:rtl/>
        </w:rPr>
      </w:pPr>
      <w:r>
        <w:rPr>
          <w:rFonts w:hint="cs"/>
          <w:rtl/>
        </w:rPr>
        <w:t xml:space="preserve">מס' יחידות מוקדשות ללימוד אודות כוחם המיוחד של הילדים ועל הצבא המיוחד שהקים הרבי עבורם </w:t>
      </w:r>
      <w:r>
        <w:rPr>
          <w:rtl/>
        </w:rPr>
        <w:t>–</w:t>
      </w:r>
      <w:r>
        <w:rPr>
          <w:rFonts w:hint="cs"/>
          <w:rtl/>
        </w:rPr>
        <w:t xml:space="preserve"> צבאות ה'. בביה"ס בוודאי שומעים הילדים על היותם חיילים </w:t>
      </w:r>
      <w:proofErr w:type="spellStart"/>
      <w:r>
        <w:rPr>
          <w:rFonts w:hint="cs"/>
          <w:rtl/>
        </w:rPr>
        <w:t>בצ"ה</w:t>
      </w:r>
      <w:proofErr w:type="spellEnd"/>
      <w:r>
        <w:rPr>
          <w:rFonts w:hint="cs"/>
          <w:rtl/>
        </w:rPr>
        <w:t>, ונערכים מבצעים כדי להנחיל הנהגות רצויות. כאן הם ילמדו מעט על מהות הצבא, בתקווה שהלימוד כולו יעניק להם חיות מיוחדת בלימוד התורה ובקיום המצוות, כפי שהם מוארים באור החסידות.</w:t>
      </w:r>
    </w:p>
    <w:p w:rsidR="009A4D9D" w:rsidRDefault="009A4D9D" w:rsidP="009A4D9D">
      <w:pPr>
        <w:jc w:val="both"/>
        <w:rPr>
          <w:rtl/>
        </w:rPr>
      </w:pPr>
      <w:r>
        <w:rPr>
          <w:rFonts w:hint="cs"/>
          <w:rtl/>
        </w:rPr>
        <w:t>את הלמידה תלווה מחברת, שתייצג את הנלמד בכיתה באמצעות דפי העבודה והמשימות שיופיעו בה. המחברת תהווה 'שגרירת' השיעור בבתי התלמידים, ובכך תהיה הלמידה בכיתה "פעולה נמשכת".</w:t>
      </w:r>
    </w:p>
    <w:p w:rsidR="009A4D9D" w:rsidRDefault="009A4D9D" w:rsidP="009A4D9D">
      <w:pPr>
        <w:jc w:val="both"/>
        <w:rPr>
          <w:rtl/>
        </w:rPr>
      </w:pPr>
      <w:r>
        <w:rPr>
          <w:rFonts w:hint="cs"/>
          <w:rtl/>
        </w:rPr>
        <w:t xml:space="preserve">*סדר הנושאים ואף הסיפורים עצמם נתונים לבחירת המורה, באיזה אופן יחדרו המסרים עמוק יותר לליבות הילדים. המורה </w:t>
      </w:r>
      <w:proofErr w:type="spellStart"/>
      <w:r>
        <w:rPr>
          <w:rFonts w:hint="cs"/>
          <w:rtl/>
        </w:rPr>
        <w:t>מוזמנ</w:t>
      </w:r>
      <w:proofErr w:type="spellEnd"/>
      <w:r>
        <w:rPr>
          <w:rFonts w:hint="cs"/>
          <w:rtl/>
        </w:rPr>
        <w:t xml:space="preserve">/ת לשתף מורים במוסדות אחרים בפעילויות שיצר/ה, לתועלת הרבים. </w:t>
      </w:r>
    </w:p>
    <w:p w:rsidR="009A4D9D" w:rsidRDefault="009A4D9D" w:rsidP="009A4D9D">
      <w:pPr>
        <w:jc w:val="both"/>
        <w:rPr>
          <w:rtl/>
        </w:rPr>
      </w:pPr>
      <w:r>
        <w:rPr>
          <w:rFonts w:hint="cs"/>
          <w:rtl/>
        </w:rPr>
        <w:t>את סדר הנושאים ניתן להתאים ללוח השנה, וכך לדוגמה, נושא ה'התקשרות' יילמד בסביבות י' שבט.</w:t>
      </w:r>
    </w:p>
    <w:p w:rsidR="009A4D9D" w:rsidRDefault="009A4D9D" w:rsidP="009A4D9D">
      <w:pPr>
        <w:jc w:val="both"/>
        <w:rPr>
          <w:rtl/>
        </w:rPr>
        <w:sectPr w:rsidR="009A4D9D" w:rsidSect="00103E77">
          <w:endnotePr>
            <w:numFmt w:val="decimal"/>
          </w:endnotePr>
          <w:type w:val="continuous"/>
          <w:pgSz w:w="16838" w:h="11906" w:orient="landscape"/>
          <w:pgMar w:top="426" w:right="1440" w:bottom="142" w:left="1440" w:header="708" w:footer="708" w:gutter="0"/>
          <w:cols w:num="2" w:space="1812"/>
          <w:bidi/>
          <w:rtlGutter/>
          <w:docGrid w:linePitch="360"/>
        </w:sectPr>
      </w:pPr>
    </w:p>
    <w:p w:rsidR="002A121A" w:rsidRDefault="002A121A" w:rsidP="002A121A">
      <w:pPr>
        <w:jc w:val="both"/>
        <w:rPr>
          <w:rtl/>
        </w:rPr>
        <w:sectPr w:rsidR="002A121A" w:rsidSect="00ED61E4">
          <w:endnotePr>
            <w:numFmt w:val="decimal"/>
          </w:endnotePr>
          <w:type w:val="continuous"/>
          <w:pgSz w:w="16838" w:h="11906" w:orient="landscape"/>
          <w:pgMar w:top="426" w:right="1440" w:bottom="1800" w:left="1440" w:header="708" w:footer="708" w:gutter="0"/>
          <w:cols w:num="2" w:space="1812"/>
          <w:bidi/>
          <w:rtlGutter/>
          <w:docGrid w:linePitch="360"/>
        </w:sectPr>
      </w:pPr>
    </w:p>
    <w:p w:rsidR="0051544C" w:rsidRDefault="0051544C" w:rsidP="00ED61E4">
      <w:pPr>
        <w:jc w:val="both"/>
        <w:rPr>
          <w:rtl/>
        </w:rPr>
      </w:pPr>
      <w:r>
        <w:rPr>
          <w:rtl/>
        </w:rPr>
        <w:lastRenderedPageBreak/>
        <w:br w:type="page"/>
      </w:r>
    </w:p>
    <w:tbl>
      <w:tblPr>
        <w:tblStyle w:val="a3"/>
        <w:tblpPr w:leftFromText="180" w:rightFromText="180" w:vertAnchor="text" w:horzAnchor="margin" w:tblpXSpec="center" w:tblpY="-19"/>
        <w:bidiVisual/>
        <w:tblW w:w="15168" w:type="dxa"/>
        <w:tblLook w:val="04A0" w:firstRow="1" w:lastRow="0" w:firstColumn="1" w:lastColumn="0" w:noHBand="0" w:noVBand="1"/>
      </w:tblPr>
      <w:tblGrid>
        <w:gridCol w:w="1151"/>
        <w:gridCol w:w="2818"/>
        <w:gridCol w:w="5812"/>
        <w:gridCol w:w="5387"/>
      </w:tblGrid>
      <w:tr w:rsidR="00103E77" w:rsidTr="00103E77"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103E77" w:rsidRPr="00960EE3" w:rsidRDefault="00103E77" w:rsidP="00103E77">
            <w:pPr>
              <w:jc w:val="center"/>
              <w:rPr>
                <w:b/>
                <w:bCs/>
                <w:rtl/>
              </w:rPr>
            </w:pPr>
            <w:r w:rsidRPr="00960EE3">
              <w:rPr>
                <w:rFonts w:hint="cs"/>
                <w:b/>
                <w:bCs/>
                <w:rtl/>
              </w:rPr>
              <w:lastRenderedPageBreak/>
              <w:t>נושא ראשי</w:t>
            </w: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:rsidR="00103E77" w:rsidRPr="00960EE3" w:rsidRDefault="00103E77" w:rsidP="00103E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מסר / ערך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103E77" w:rsidRPr="00960EE3" w:rsidRDefault="00103E77" w:rsidP="00103E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סיפור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103E77" w:rsidRPr="00960EE3" w:rsidRDefault="00103E77" w:rsidP="00103E77">
            <w:pPr>
              <w:jc w:val="center"/>
              <w:rPr>
                <w:b/>
                <w:bCs/>
                <w:rtl/>
              </w:rPr>
            </w:pPr>
            <w:r w:rsidRPr="00960EE3">
              <w:rPr>
                <w:rFonts w:hint="cs"/>
                <w:b/>
                <w:bCs/>
                <w:rtl/>
              </w:rPr>
              <w:t>מקור</w:t>
            </w:r>
          </w:p>
        </w:tc>
      </w:tr>
      <w:tr w:rsidR="00103E77" w:rsidTr="00103E77">
        <w:tc>
          <w:tcPr>
            <w:tcW w:w="115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מהות היהודי ומעלת (7)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לשם מה יהודי חי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אדמו"ר </w:t>
            </w:r>
            <w:proofErr w:type="spellStart"/>
            <w:r>
              <w:rPr>
                <w:rFonts w:hint="cs"/>
                <w:rtl/>
              </w:rPr>
              <w:t>הרש"ב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והרז"א</w:t>
            </w:r>
            <w:proofErr w:type="spellEnd"/>
            <w:r>
              <w:rPr>
                <w:rFonts w:hint="cs"/>
                <w:rtl/>
              </w:rPr>
              <w:t xml:space="preserve"> בילדותם, עם אדמו"ר </w:t>
            </w:r>
            <w:proofErr w:type="spellStart"/>
            <w:r>
              <w:rPr>
                <w:rFonts w:hint="cs"/>
                <w:rtl/>
              </w:rPr>
              <w:t>מהר"ש</w:t>
            </w:r>
            <w:proofErr w:type="spellEnd"/>
            <w:r>
              <w:rPr>
                <w:rFonts w:hint="cs"/>
                <w:rtl/>
              </w:rPr>
              <w:t xml:space="preserve"> והמשרתים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קובץ מכתבים בסוף תהילים אהל יוסף יצחק עמ' 216</w:t>
            </w:r>
          </w:p>
        </w:tc>
      </w:tr>
      <w:tr w:rsidR="00103E77" w:rsidTr="00103E77">
        <w:tc>
          <w:tcPr>
            <w:tcW w:w="1151" w:type="dxa"/>
            <w:vMerge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גוף יהודי ככלי לקיום מצוות</w:t>
            </w: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לשם מה יש צורך ביד</w:t>
            </w:r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תורת מנחם ח"ו עמ' 13</w:t>
            </w:r>
          </w:p>
        </w:tc>
      </w:tr>
      <w:tr w:rsidR="00103E77" w:rsidTr="00103E77">
        <w:tc>
          <w:tcPr>
            <w:tcW w:w="1151" w:type="dxa"/>
            <w:vMerge/>
            <w:vAlign w:val="center"/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מבט נכון על יהודי</w:t>
            </w: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"יהודי הוא פלאי פלאים"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אדמו"ר </w:t>
            </w:r>
            <w:proofErr w:type="spellStart"/>
            <w:r>
              <w:rPr>
                <w:rFonts w:hint="cs"/>
                <w:rtl/>
              </w:rPr>
              <w:t>הרש"ב</w:t>
            </w:r>
            <w:proofErr w:type="spellEnd"/>
            <w:r>
              <w:rPr>
                <w:rFonts w:hint="cs"/>
                <w:rtl/>
              </w:rPr>
              <w:t xml:space="preserve"> והחסיד סוחר היהלומים</w:t>
            </w:r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ספר השיחות ה'תש"ה (מתורגם ללה"ק) עמ' ל"ט ואילך</w:t>
            </w:r>
          </w:p>
        </w:tc>
      </w:tr>
      <w:tr w:rsidR="00103E77" w:rsidTr="00103E77">
        <w:tc>
          <w:tcPr>
            <w:tcW w:w="1151" w:type="dxa"/>
            <w:vMerge/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  <w:vMerge/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"למה לאדם 2 עיניים"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אדמו"ר </w:t>
            </w:r>
            <w:proofErr w:type="spellStart"/>
            <w:r>
              <w:rPr>
                <w:rFonts w:hint="cs"/>
                <w:rtl/>
              </w:rPr>
              <w:t>הריי"צ</w:t>
            </w:r>
            <w:proofErr w:type="spellEnd"/>
            <w:r>
              <w:rPr>
                <w:rFonts w:hint="cs"/>
                <w:rtl/>
              </w:rPr>
              <w:t xml:space="preserve"> בילדותו</w:t>
            </w:r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ספר התולדות </w:t>
            </w:r>
            <w:proofErr w:type="spellStart"/>
            <w:r>
              <w:rPr>
                <w:rFonts w:hint="cs"/>
                <w:rtl/>
              </w:rPr>
              <w:t>אדמוהריי"צ</w:t>
            </w:r>
            <w:proofErr w:type="spellEnd"/>
          </w:p>
        </w:tc>
      </w:tr>
      <w:tr w:rsidR="00103E77" w:rsidTr="00103E77">
        <w:trPr>
          <w:cantSplit/>
          <w:trHeight w:val="233"/>
        </w:trPr>
        <w:tc>
          <w:tcPr>
            <w:tcW w:w="1151" w:type="dxa"/>
            <w:vMerge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vMerge w:val="restart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חשיבות הסיוע ליהודי</w:t>
            </w:r>
          </w:p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"נשמה יורדת לעולם..."</w:t>
            </w:r>
          </w:p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("היום יום" ה' באייר)</w:t>
            </w: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אדמו"ר הצמח צדק וההלוואה לפני התפילה</w:t>
            </w:r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ספר המאמרים תשי"א עמ' 153-154 ו"היום יום" כ"ח סיון</w:t>
            </w:r>
          </w:p>
        </w:tc>
      </w:tr>
      <w:tr w:rsidR="00103E77" w:rsidTr="00103E77">
        <w:trPr>
          <w:cantSplit/>
          <w:trHeight w:val="266"/>
        </w:trPr>
        <w:tc>
          <w:tcPr>
            <w:tcW w:w="1151" w:type="dxa"/>
            <w:vMerge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vMerge/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עמוד אור של חסד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החנווני שהלווה לחבריו</w:t>
            </w:r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ספר השיחות ה'תש"א עמ' 44</w:t>
            </w:r>
          </w:p>
        </w:tc>
      </w:tr>
      <w:tr w:rsidR="00103E77" w:rsidTr="00103E77">
        <w:trPr>
          <w:cantSplit/>
          <w:trHeight w:val="269"/>
        </w:trPr>
        <w:tc>
          <w:tcPr>
            <w:tcW w:w="1151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vMerge/>
            <w:tcBorders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הרב שהיה לעגלון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הובא באריכות </w:t>
            </w:r>
            <w:proofErr w:type="spellStart"/>
            <w:r>
              <w:rPr>
                <w:rFonts w:hint="cs"/>
                <w:rtl/>
              </w:rPr>
              <w:t>באג"ק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אדמוהריי"צ</w:t>
            </w:r>
            <w:proofErr w:type="spellEnd"/>
            <w:r>
              <w:rPr>
                <w:rFonts w:hint="cs"/>
                <w:rtl/>
              </w:rPr>
              <w:t>, ונזכר בהדגשת הוראה זו בשיחת פורים תשכ"ב</w:t>
            </w:r>
          </w:p>
        </w:tc>
      </w:tr>
      <w:tr w:rsidR="00103E77" w:rsidTr="00103E77">
        <w:trPr>
          <w:cantSplit/>
          <w:trHeight w:val="279"/>
        </w:trPr>
        <w:tc>
          <w:tcPr>
            <w:tcW w:w="115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שמחה ובטחון (4)</w:t>
            </w:r>
          </w:p>
        </w:tc>
        <w:tc>
          <w:tcPr>
            <w:tcW w:w="2818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שמחה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"כי בשמחה </w:t>
            </w:r>
            <w:proofErr w:type="spellStart"/>
            <w:r>
              <w:rPr>
                <w:rFonts w:hint="cs"/>
                <w:rtl/>
              </w:rPr>
              <w:t>תצאון</w:t>
            </w:r>
            <w:proofErr w:type="spellEnd"/>
            <w:r>
              <w:rPr>
                <w:rFonts w:hint="cs"/>
                <w:rtl/>
              </w:rPr>
              <w:t xml:space="preserve">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מהצרות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רשימת דברים (ר"י </w:t>
            </w:r>
            <w:proofErr w:type="spellStart"/>
            <w:r>
              <w:rPr>
                <w:rFonts w:hint="cs"/>
                <w:rtl/>
              </w:rPr>
              <w:t>חיטריק</w:t>
            </w:r>
            <w:proofErr w:type="spellEnd"/>
            <w:r>
              <w:rPr>
                <w:rFonts w:hint="cs"/>
                <w:rtl/>
              </w:rPr>
              <w:t xml:space="preserve">) ח"א עמ' </w:t>
            </w:r>
            <w:proofErr w:type="spellStart"/>
            <w:r>
              <w:rPr>
                <w:rFonts w:hint="cs"/>
                <w:rtl/>
              </w:rPr>
              <w:t>קכח</w:t>
            </w:r>
            <w:proofErr w:type="spellEnd"/>
          </w:p>
        </w:tc>
      </w:tr>
      <w:tr w:rsidR="00103E77" w:rsidTr="00103E77">
        <w:tc>
          <w:tcPr>
            <w:tcW w:w="1151" w:type="dxa"/>
            <w:vMerge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</w:tcPr>
          <w:p w:rsidR="00103E77" w:rsidRPr="002F0F82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חשוב טוב יהיה טוב</w:t>
            </w: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מיכאל </w:t>
            </w:r>
            <w:proofErr w:type="spellStart"/>
            <w:r>
              <w:rPr>
                <w:rFonts w:hint="cs"/>
                <w:rtl/>
              </w:rPr>
              <w:t>בלינער</w:t>
            </w:r>
            <w:proofErr w:type="spellEnd"/>
            <w:r>
              <w:rPr>
                <w:rFonts w:hint="cs"/>
                <w:rtl/>
              </w:rPr>
              <w:t xml:space="preserve"> ואדמו"ר הצמח צדק</w:t>
            </w:r>
          </w:p>
        </w:tc>
        <w:tc>
          <w:tcPr>
            <w:tcW w:w="5387" w:type="dxa"/>
          </w:tcPr>
          <w:p w:rsidR="00103E77" w:rsidRDefault="00317B8C" w:rsidP="00103E77">
            <w:pPr>
              <w:pStyle w:val="a7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ספר המאמרים תרפ"ז עמ'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רלו</w:t>
            </w:r>
            <w:proofErr w:type="spellEnd"/>
          </w:p>
        </w:tc>
      </w:tr>
      <w:tr w:rsidR="00103E77" w:rsidTr="00103E77">
        <w:tc>
          <w:tcPr>
            <w:tcW w:w="1151" w:type="dxa"/>
            <w:vMerge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  <w:vMerge w:val="restart"/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בטחון</w:t>
            </w:r>
          </w:p>
        </w:tc>
        <w:tc>
          <w:tcPr>
            <w:tcW w:w="5812" w:type="dxa"/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כמה גדול כוח </w:t>
            </w:r>
            <w:proofErr w:type="spellStart"/>
            <w:r>
              <w:rPr>
                <w:rFonts w:hint="cs"/>
                <w:rtl/>
              </w:rPr>
              <w:t>הבטחון</w:t>
            </w:r>
            <w:proofErr w:type="spellEnd"/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r w:rsidRPr="00A54C9A">
              <w:rPr>
                <w:rFonts w:hint="cs"/>
                <w:rtl/>
              </w:rPr>
              <w:t xml:space="preserve">סיפורי חסידים רש"י </w:t>
            </w:r>
            <w:proofErr w:type="spellStart"/>
            <w:r w:rsidRPr="00A54C9A">
              <w:rPr>
                <w:rFonts w:hint="cs"/>
                <w:rtl/>
              </w:rPr>
              <w:t>זוין</w:t>
            </w:r>
            <w:proofErr w:type="spellEnd"/>
            <w:r w:rsidRPr="00A54C9A">
              <w:rPr>
                <w:rFonts w:hint="cs"/>
                <w:rtl/>
              </w:rPr>
              <w:t xml:space="preserve"> לפס' "ברוך הגבר אשר יבטח בה'..." </w:t>
            </w:r>
            <w:r w:rsidRPr="00A54C9A">
              <w:rPr>
                <w:rtl/>
              </w:rPr>
              <w:t>–</w:t>
            </w:r>
            <w:r w:rsidRPr="00A54C9A">
              <w:rPr>
                <w:rFonts w:hint="cs"/>
                <w:rtl/>
              </w:rPr>
              <w:t xml:space="preserve"> הפטרת </w:t>
            </w:r>
            <w:proofErr w:type="spellStart"/>
            <w:r w:rsidRPr="00A54C9A">
              <w:rPr>
                <w:rFonts w:hint="cs"/>
                <w:rtl/>
              </w:rPr>
              <w:t>בחוקותי</w:t>
            </w:r>
            <w:proofErr w:type="spellEnd"/>
          </w:p>
        </w:tc>
      </w:tr>
      <w:tr w:rsidR="00103E77" w:rsidTr="00103E77">
        <w:tc>
          <w:tcPr>
            <w:tcW w:w="115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03E77" w:rsidRPr="002F0F82" w:rsidRDefault="00103E77" w:rsidP="00103E77">
            <w:pPr>
              <w:rPr>
                <w:rtl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מאין יבוא עזרי 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שיחות לנוער, תשרי תשי"ז (כרך א')</w:t>
            </w:r>
          </w:p>
        </w:tc>
      </w:tr>
      <w:tr w:rsidR="00103E77" w:rsidTr="00103E77">
        <w:tc>
          <w:tcPr>
            <w:tcW w:w="115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השגחה פרטית (4)</w:t>
            </w:r>
          </w:p>
        </w:tc>
        <w:tc>
          <w:tcPr>
            <w:tcW w:w="2818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השגחה על כל פרט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העלה הקטן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103E77" w:rsidRPr="0079645A" w:rsidRDefault="00103E77" w:rsidP="00103E77">
            <w:pPr>
              <w:pStyle w:val="a7"/>
              <w:rPr>
                <w:rtl/>
              </w:rPr>
            </w:pPr>
            <w:r w:rsidRPr="00103E77">
              <w:rPr>
                <w:rFonts w:hint="cs"/>
                <w:sz w:val="22"/>
                <w:szCs w:val="22"/>
                <w:rtl/>
              </w:rPr>
              <w:t>"</w:t>
            </w:r>
            <w:r w:rsidRPr="0079645A">
              <w:rPr>
                <w:rFonts w:hint="cs"/>
                <w:sz w:val="22"/>
                <w:szCs w:val="22"/>
                <w:rtl/>
              </w:rPr>
              <w:t xml:space="preserve">הלקח והליבוב" (ביאור </w:t>
            </w:r>
            <w:proofErr w:type="spellStart"/>
            <w:r w:rsidRPr="0079645A">
              <w:rPr>
                <w:rFonts w:hint="cs"/>
                <w:sz w:val="22"/>
                <w:szCs w:val="22"/>
                <w:rtl/>
              </w:rPr>
              <w:t>התניא</w:t>
            </w:r>
            <w:proofErr w:type="spellEnd"/>
            <w:r w:rsidRPr="0079645A">
              <w:rPr>
                <w:rFonts w:hint="cs"/>
                <w:sz w:val="22"/>
                <w:szCs w:val="22"/>
                <w:rtl/>
              </w:rPr>
              <w:t>) חלק ב' עמ' קצ"ג</w:t>
            </w:r>
          </w:p>
        </w:tc>
      </w:tr>
      <w:tr w:rsidR="00103E77" w:rsidTr="00103E77">
        <w:tc>
          <w:tcPr>
            <w:tcW w:w="1151" w:type="dxa"/>
            <w:vMerge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מה' מצעדי גבר כוננו</w:t>
            </w: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פרנסה רוחנית בעיר </w:t>
            </w:r>
            <w:proofErr w:type="spellStart"/>
            <w:r>
              <w:rPr>
                <w:rFonts w:hint="cs"/>
                <w:rtl/>
              </w:rPr>
              <w:t>וולדאמיר</w:t>
            </w:r>
            <w:proofErr w:type="spellEnd"/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אג"ק</w:t>
            </w:r>
            <w:proofErr w:type="spellEnd"/>
            <w:r>
              <w:rPr>
                <w:rFonts w:hint="cs"/>
                <w:rtl/>
              </w:rPr>
              <w:t xml:space="preserve"> אדמו"ר </w:t>
            </w:r>
            <w:proofErr w:type="spellStart"/>
            <w:r>
              <w:rPr>
                <w:rFonts w:hint="cs"/>
                <w:rtl/>
              </w:rPr>
              <w:t>הריי"צ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ח"ז</w:t>
            </w:r>
            <w:proofErr w:type="spellEnd"/>
            <w:r>
              <w:rPr>
                <w:rFonts w:hint="cs"/>
                <w:rtl/>
              </w:rPr>
              <w:t xml:space="preserve"> עמ' כ'-כ"א ו"היום יום" י"ד חשוון</w:t>
            </w:r>
          </w:p>
        </w:tc>
      </w:tr>
      <w:tr w:rsidR="00103E77" w:rsidTr="00103E77">
        <w:tc>
          <w:tcPr>
            <w:tcW w:w="1151" w:type="dxa"/>
            <w:vMerge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תכלית לכל מאורע</w:t>
            </w: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רפואת התפילין</w:t>
            </w:r>
          </w:p>
        </w:tc>
        <w:tc>
          <w:tcPr>
            <w:tcW w:w="5387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תורת מנחם </w:t>
            </w:r>
            <w:proofErr w:type="spellStart"/>
            <w:r>
              <w:rPr>
                <w:rFonts w:hint="cs"/>
                <w:rtl/>
              </w:rPr>
              <w:t>חי"א</w:t>
            </w:r>
            <w:proofErr w:type="spellEnd"/>
            <w:r>
              <w:rPr>
                <w:rFonts w:hint="cs"/>
                <w:rtl/>
              </w:rPr>
              <w:t xml:space="preserve"> עמ' 60</w:t>
            </w:r>
          </w:p>
        </w:tc>
      </w:tr>
      <w:tr w:rsidR="00103E77" w:rsidTr="00103E77">
        <w:tc>
          <w:tcPr>
            <w:tcW w:w="115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תכלית לכל בריה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סעודת העכברים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שיחות לנוער, תשרי תשכ"ו (כרך ד')</w:t>
            </w:r>
          </w:p>
        </w:tc>
      </w:tr>
      <w:tr w:rsidR="00103E77" w:rsidTr="00103E77">
        <w:trPr>
          <w:cantSplit/>
          <w:trHeight w:val="299"/>
        </w:trPr>
        <w:tc>
          <w:tcPr>
            <w:tcW w:w="115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התקשרות (4) </w:t>
            </w:r>
          </w:p>
        </w:tc>
        <w:tc>
          <w:tcPr>
            <w:tcW w:w="2818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מחשבה של הרבי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בערל </w:t>
            </w:r>
            <w:proofErr w:type="spellStart"/>
            <w:r>
              <w:rPr>
                <w:rFonts w:hint="cs"/>
                <w:rtl/>
              </w:rPr>
              <w:t>בוימגרטן</w:t>
            </w:r>
            <w:proofErr w:type="spellEnd"/>
            <w:r>
              <w:rPr>
                <w:rFonts w:hint="cs"/>
                <w:rtl/>
              </w:rPr>
              <w:t xml:space="preserve"> בי"ב תמוז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103E77" w:rsidRPr="00103E77" w:rsidRDefault="00103E77" w:rsidP="00317B8C">
            <w:pPr>
              <w:pStyle w:val="a7"/>
              <w:rPr>
                <w:sz w:val="22"/>
                <w:szCs w:val="22"/>
                <w:rtl/>
              </w:rPr>
            </w:pPr>
            <w:r w:rsidRPr="00103E77">
              <w:rPr>
                <w:rFonts w:hint="cs"/>
                <w:sz w:val="22"/>
                <w:szCs w:val="22"/>
                <w:rtl/>
              </w:rPr>
              <w:t>שיחת השבוע 122</w:t>
            </w:r>
            <w:r w:rsidR="00317B8C">
              <w:rPr>
                <w:rFonts w:hint="cs"/>
                <w:sz w:val="22"/>
                <w:szCs w:val="22"/>
                <w:rtl/>
              </w:rPr>
              <w:t>9</w:t>
            </w:r>
          </w:p>
        </w:tc>
      </w:tr>
      <w:tr w:rsidR="00103E77" w:rsidTr="00103E77">
        <w:trPr>
          <w:cantSplit/>
          <w:trHeight w:val="279"/>
        </w:trPr>
        <w:tc>
          <w:tcPr>
            <w:tcW w:w="1151" w:type="dxa"/>
            <w:vMerge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מחשבה של חסיד</w:t>
            </w:r>
          </w:p>
        </w:tc>
        <w:tc>
          <w:tcPr>
            <w:tcW w:w="5812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פ"נ במחשבה</w:t>
            </w:r>
          </w:p>
        </w:tc>
        <w:tc>
          <w:tcPr>
            <w:tcW w:w="5387" w:type="dxa"/>
          </w:tcPr>
          <w:p w:rsidR="00103E77" w:rsidRPr="00103E77" w:rsidRDefault="00317B8C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שיחת השבוע 912</w:t>
            </w:r>
          </w:p>
        </w:tc>
      </w:tr>
      <w:tr w:rsidR="00103E77" w:rsidTr="00103E77">
        <w:trPr>
          <w:cantSplit/>
          <w:trHeight w:val="279"/>
        </w:trPr>
        <w:tc>
          <w:tcPr>
            <w:tcW w:w="1151" w:type="dxa"/>
            <w:vMerge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דאגה לכל יהודי</w:t>
            </w:r>
          </w:p>
        </w:tc>
        <w:tc>
          <w:tcPr>
            <w:tcW w:w="5812" w:type="dxa"/>
          </w:tcPr>
          <w:p w:rsidR="00103E77" w:rsidRDefault="009C697E" w:rsidP="009C69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יהודי </w:t>
            </w:r>
            <w:r w:rsidR="005D0E0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קטן</w:t>
            </w:r>
            <w:r w:rsidR="005D0E0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באיים הקריביים</w:t>
            </w:r>
          </w:p>
        </w:tc>
        <w:tc>
          <w:tcPr>
            <w:tcW w:w="5387" w:type="dxa"/>
          </w:tcPr>
          <w:p w:rsidR="00103E77" w:rsidRPr="00103E77" w:rsidRDefault="00103E77" w:rsidP="009C697E">
            <w:pPr>
              <w:rPr>
                <w:rtl/>
              </w:rPr>
            </w:pPr>
            <w:r w:rsidRPr="00103E77">
              <w:rPr>
                <w:rFonts w:hint="cs"/>
                <w:rtl/>
              </w:rPr>
              <w:t xml:space="preserve">מפי בעל המעשה, </w:t>
            </w:r>
            <w:r w:rsidR="009C697E">
              <w:rPr>
                <w:rFonts w:hint="cs"/>
                <w:rtl/>
              </w:rPr>
              <w:t xml:space="preserve">מתוך </w:t>
            </w:r>
            <w:hyperlink r:id="rId15" w:history="1">
              <w:r w:rsidR="009C697E" w:rsidRPr="005D0E0F">
                <w:rPr>
                  <w:rStyle w:val="Hyperlink"/>
                  <w:rFonts w:hint="cs"/>
                  <w:rtl/>
                </w:rPr>
                <w:t>אתר "בית חב"ד"</w:t>
              </w:r>
            </w:hyperlink>
          </w:p>
        </w:tc>
      </w:tr>
      <w:tr w:rsidR="00103E77" w:rsidTr="00103E77">
        <w:trPr>
          <w:cantSplit/>
          <w:trHeight w:val="279"/>
        </w:trPr>
        <w:tc>
          <w:tcPr>
            <w:tcW w:w="1151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ציות מוחלט לרבי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מתנת יום ההולדת</w:t>
            </w:r>
          </w:p>
          <w:p w:rsidR="00103E77" w:rsidRDefault="00103E77" w:rsidP="00103E77">
            <w:pPr>
              <w:rPr>
                <w:rtl/>
              </w:rPr>
            </w:pPr>
          </w:p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הלוואה לרבי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 w:rsidRPr="00103E77">
              <w:rPr>
                <w:rFonts w:hint="cs"/>
                <w:rtl/>
              </w:rPr>
              <w:t xml:space="preserve">סיפורי חסידים רש"י </w:t>
            </w:r>
            <w:proofErr w:type="spellStart"/>
            <w:r w:rsidRPr="00103E77">
              <w:rPr>
                <w:rFonts w:hint="cs"/>
                <w:rtl/>
              </w:rPr>
              <w:t>זוין</w:t>
            </w:r>
            <w:proofErr w:type="spellEnd"/>
            <w:r w:rsidRPr="00103E77">
              <w:rPr>
                <w:rFonts w:hint="cs"/>
                <w:rtl/>
              </w:rPr>
              <w:t xml:space="preserve"> לפסוק "ואת עורות גדיי העיזים" </w:t>
            </w:r>
            <w:r w:rsidRPr="00103E77">
              <w:rPr>
                <w:rtl/>
              </w:rPr>
              <w:t>–</w:t>
            </w:r>
            <w:r w:rsidRPr="00103E77">
              <w:rPr>
                <w:rFonts w:hint="cs"/>
                <w:rtl/>
              </w:rPr>
              <w:t xml:space="preserve"> פרשת תולדות</w:t>
            </w:r>
          </w:p>
          <w:p w:rsidR="00103E77" w:rsidRP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שמועות וסיפורים חלק ב'</w:t>
            </w:r>
          </w:p>
        </w:tc>
      </w:tr>
      <w:tr w:rsidR="00103E77" w:rsidTr="00103E77">
        <w:trPr>
          <w:cantSplit/>
          <w:trHeight w:val="279"/>
        </w:trPr>
        <w:tc>
          <w:tcPr>
            <w:tcW w:w="1151" w:type="dxa"/>
            <w:vMerge w:val="restart"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גאולה (3)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ציפיה</w:t>
            </w:r>
            <w:proofErr w:type="spellEnd"/>
            <w:r>
              <w:rPr>
                <w:rFonts w:hint="cs"/>
                <w:rtl/>
              </w:rPr>
              <w:t xml:space="preserve"> לגאולה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ר' וולף </w:t>
            </w:r>
            <w:proofErr w:type="spellStart"/>
            <w:r>
              <w:rPr>
                <w:rFonts w:hint="cs"/>
                <w:rtl/>
              </w:rPr>
              <w:t>קיצעס</w:t>
            </w:r>
            <w:proofErr w:type="spellEnd"/>
            <w:r>
              <w:rPr>
                <w:rFonts w:hint="cs"/>
                <w:rtl/>
              </w:rPr>
              <w:t xml:space="preserve"> במסעו לא"י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03E77" w:rsidRPr="00103E77" w:rsidRDefault="00103E77" w:rsidP="00103E77">
            <w:pPr>
              <w:pStyle w:val="a7"/>
              <w:rPr>
                <w:sz w:val="22"/>
                <w:szCs w:val="22"/>
                <w:rtl/>
              </w:rPr>
            </w:pPr>
            <w:r w:rsidRPr="00103E77">
              <w:rPr>
                <w:rFonts w:hint="cs"/>
                <w:sz w:val="22"/>
                <w:szCs w:val="22"/>
                <w:rtl/>
              </w:rPr>
              <w:t xml:space="preserve">שבחי </w:t>
            </w:r>
            <w:proofErr w:type="spellStart"/>
            <w:r w:rsidRPr="00103E77">
              <w:rPr>
                <w:rFonts w:hint="cs"/>
                <w:sz w:val="22"/>
                <w:szCs w:val="22"/>
                <w:rtl/>
              </w:rPr>
              <w:t>הבעש"ט</w:t>
            </w:r>
            <w:proofErr w:type="spellEnd"/>
          </w:p>
        </w:tc>
      </w:tr>
      <w:tr w:rsidR="00103E77" w:rsidTr="00103E77">
        <w:trPr>
          <w:cantSplit/>
          <w:trHeight w:val="279"/>
        </w:trPr>
        <w:tc>
          <w:tcPr>
            <w:tcW w:w="1151" w:type="dxa"/>
            <w:vMerge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זירוז הגאולה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בידינו הדבר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התפוח והברכה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03E77" w:rsidRPr="00103E77" w:rsidRDefault="00103E77" w:rsidP="00103E77">
            <w:pPr>
              <w:rPr>
                <w:rtl/>
              </w:rPr>
            </w:pPr>
            <w:r w:rsidRPr="00103E77">
              <w:rPr>
                <w:rFonts w:hint="cs"/>
                <w:rtl/>
              </w:rPr>
              <w:t>לקו"ש כ עמ' 384</w:t>
            </w:r>
          </w:p>
        </w:tc>
      </w:tr>
      <w:tr w:rsidR="00103E77" w:rsidTr="00103E77">
        <w:trPr>
          <w:cantSplit/>
          <w:trHeight w:val="279"/>
        </w:trPr>
        <w:tc>
          <w:tcPr>
            <w:tcW w:w="1151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כשתבוא הגאולה...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משל הבור והילדים שגדלו בתוכו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למה בכלל צריך גאולה?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103E77" w:rsidRDefault="00BC4A6C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אדה"א</w:t>
            </w:r>
            <w:bookmarkStart w:id="0" w:name="_GoBack"/>
            <w:bookmarkEnd w:id="0"/>
          </w:p>
        </w:tc>
      </w:tr>
      <w:tr w:rsidR="00103E77" w:rsidTr="00103E77">
        <w:trPr>
          <w:cantSplit/>
          <w:trHeight w:val="259"/>
        </w:trPr>
        <w:tc>
          <w:tcPr>
            <w:tcW w:w="115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צבאות ה' (3)</w:t>
            </w: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חשיבות הילדים - "מפי עוללים"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הבעש"ט</w:t>
            </w:r>
            <w:proofErr w:type="spellEnd"/>
            <w:r>
              <w:rPr>
                <w:rFonts w:hint="cs"/>
                <w:rtl/>
              </w:rPr>
              <w:t xml:space="preserve"> כעוזר למלמד</w:t>
            </w:r>
          </w:p>
        </w:tc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היום יום" ט"ז תמוז</w:t>
            </w:r>
          </w:p>
        </w:tc>
      </w:tr>
      <w:tr w:rsidR="00103E77" w:rsidTr="00103E77">
        <w:trPr>
          <w:cantSplit/>
          <w:trHeight w:val="263"/>
        </w:trPr>
        <w:tc>
          <w:tcPr>
            <w:tcW w:w="1151" w:type="dxa"/>
            <w:vMerge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מהם "צבאות ה'"?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מלחמה מול היצר, צבא מחנך לקבלת עול שחסרה בזמנינו.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03E77" w:rsidRPr="00103E77" w:rsidRDefault="00103E77" w:rsidP="00103E77">
            <w:pPr>
              <w:pStyle w:val="a7"/>
              <w:rPr>
                <w:sz w:val="22"/>
                <w:szCs w:val="22"/>
                <w:rtl/>
              </w:rPr>
            </w:pPr>
            <w:r w:rsidRPr="00103E77">
              <w:rPr>
                <w:rFonts w:hint="cs"/>
                <w:sz w:val="22"/>
                <w:szCs w:val="22"/>
                <w:rtl/>
              </w:rPr>
              <w:t>ע"פ ההקדמה לספר "הרבי מדבר לילדי ישראל"</w:t>
            </w:r>
          </w:p>
        </w:tc>
      </w:tr>
      <w:tr w:rsidR="00103E77" w:rsidTr="00103E77">
        <w:trPr>
          <w:cantSplit/>
          <w:trHeight w:val="145"/>
        </w:trPr>
        <w:tc>
          <w:tcPr>
            <w:tcW w:w="1151" w:type="dxa"/>
            <w:vMerge/>
            <w:textDirection w:val="btLr"/>
            <w:vAlign w:val="center"/>
          </w:tcPr>
          <w:p w:rsidR="00103E77" w:rsidRDefault="00103E77" w:rsidP="00103E77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תמיד חיל</w:t>
            </w:r>
          </w:p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חדר צבאות ה'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כל דבר הוא עבודת ה' או הכנה לעבודה </w:t>
            </w:r>
          </w:p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מכתב הרבי לילדי ישראל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03E77" w:rsidRDefault="00103E77" w:rsidP="00103E77">
            <w:pPr>
              <w:rPr>
                <w:rtl/>
              </w:rPr>
            </w:pPr>
            <w:r>
              <w:rPr>
                <w:rFonts w:hint="cs"/>
                <w:rtl/>
              </w:rPr>
              <w:t>כנ"ל</w:t>
            </w:r>
          </w:p>
          <w:p w:rsidR="00103E77" w:rsidRDefault="00317B8C" w:rsidP="00103E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לקו"ש </w:t>
            </w:r>
            <w:proofErr w:type="spellStart"/>
            <w:r>
              <w:rPr>
                <w:rFonts w:hint="cs"/>
                <w:rtl/>
              </w:rPr>
              <w:t>חכ"ו</w:t>
            </w:r>
            <w:proofErr w:type="spellEnd"/>
            <w:r>
              <w:rPr>
                <w:rFonts w:hint="cs"/>
                <w:rtl/>
              </w:rPr>
              <w:t xml:space="preserve"> עמ' 420</w:t>
            </w:r>
          </w:p>
        </w:tc>
      </w:tr>
    </w:tbl>
    <w:p w:rsidR="002D377F" w:rsidRDefault="002D377F"/>
    <w:sectPr w:rsidR="002D377F" w:rsidSect="0079645A">
      <w:endnotePr>
        <w:numFmt w:val="decimal"/>
      </w:endnotePr>
      <w:type w:val="continuous"/>
      <w:pgSz w:w="16838" w:h="11906" w:orient="landscape"/>
      <w:pgMar w:top="284" w:right="1440" w:bottom="1418" w:left="1440" w:header="27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B2" w:rsidRDefault="009E2DB2" w:rsidP="002F0F82">
      <w:pPr>
        <w:spacing w:after="0" w:line="240" w:lineRule="auto"/>
      </w:pPr>
      <w:r>
        <w:separator/>
      </w:r>
    </w:p>
  </w:endnote>
  <w:endnote w:type="continuationSeparator" w:id="0">
    <w:p w:rsidR="009E2DB2" w:rsidRDefault="009E2DB2" w:rsidP="002F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77" w:rsidRDefault="00103E7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77" w:rsidRDefault="00103E7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77" w:rsidRDefault="00103E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B2" w:rsidRDefault="009E2DB2" w:rsidP="002F0F82">
      <w:pPr>
        <w:spacing w:after="0" w:line="240" w:lineRule="auto"/>
      </w:pPr>
      <w:r>
        <w:separator/>
      </w:r>
    </w:p>
  </w:footnote>
  <w:footnote w:type="continuationSeparator" w:id="0">
    <w:p w:rsidR="009E2DB2" w:rsidRDefault="009E2DB2" w:rsidP="002F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77" w:rsidRDefault="00103E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5A" w:rsidRPr="0079645A" w:rsidRDefault="0079645A" w:rsidP="0079645A">
    <w:pPr>
      <w:pStyle w:val="af2"/>
      <w:rPr>
        <w:sz w:val="26"/>
        <w:szCs w:val="26"/>
        <w:rtl/>
      </w:rPr>
    </w:pPr>
    <w:r w:rsidRPr="0079645A">
      <w:rPr>
        <w:rFonts w:hint="cs"/>
        <w:sz w:val="26"/>
        <w:szCs w:val="26"/>
        <w:rtl/>
      </w:rPr>
      <w:t>ב"ה</w:t>
    </w:r>
  </w:p>
  <w:p w:rsidR="0079645A" w:rsidRDefault="0079645A" w:rsidP="0079645A">
    <w:pPr>
      <w:pStyle w:val="af2"/>
      <w:jc w:val="center"/>
      <w:rPr>
        <w:rtl/>
        <w:cs/>
      </w:rPr>
    </w:pPr>
    <w:proofErr w:type="spellStart"/>
    <w:r>
      <w:rPr>
        <w:rFonts w:hint="cs"/>
        <w:b/>
        <w:bCs/>
        <w:sz w:val="26"/>
        <w:szCs w:val="26"/>
        <w:rtl/>
      </w:rPr>
      <w:t>תוכנית</w:t>
    </w:r>
    <w:proofErr w:type="spellEnd"/>
    <w:r>
      <w:rPr>
        <w:rFonts w:hint="cs"/>
        <w:b/>
        <w:bCs/>
        <w:sz w:val="26"/>
        <w:szCs w:val="26"/>
        <w:rtl/>
      </w:rPr>
      <w:t xml:space="preserve"> הלימודים לכיתה א' בנושא "דרכי החסידות"</w:t>
    </w:r>
  </w:p>
  <w:p w:rsidR="0079645A" w:rsidRDefault="0079645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77" w:rsidRDefault="00103E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380D"/>
    <w:multiLevelType w:val="hybridMultilevel"/>
    <w:tmpl w:val="EB12C910"/>
    <w:lvl w:ilvl="0" w:tplc="E10652AE">
      <w:start w:val="1"/>
      <w:numFmt w:val="hebrew1"/>
      <w:lvlText w:val="%1."/>
      <w:lvlJc w:val="left"/>
      <w:pPr>
        <w:ind w:left="473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94"/>
    <w:rsid w:val="00017ECA"/>
    <w:rsid w:val="00047D16"/>
    <w:rsid w:val="00084029"/>
    <w:rsid w:val="00092EB0"/>
    <w:rsid w:val="000B11F9"/>
    <w:rsid w:val="000F0461"/>
    <w:rsid w:val="000F36E2"/>
    <w:rsid w:val="000F4392"/>
    <w:rsid w:val="0010363D"/>
    <w:rsid w:val="00103E77"/>
    <w:rsid w:val="00111028"/>
    <w:rsid w:val="0014394B"/>
    <w:rsid w:val="001C3A6F"/>
    <w:rsid w:val="001F7DBF"/>
    <w:rsid w:val="00210C66"/>
    <w:rsid w:val="00217EE3"/>
    <w:rsid w:val="00237395"/>
    <w:rsid w:val="00284B40"/>
    <w:rsid w:val="002A121A"/>
    <w:rsid w:val="002B09A1"/>
    <w:rsid w:val="002D377F"/>
    <w:rsid w:val="002F0F82"/>
    <w:rsid w:val="002F6BF6"/>
    <w:rsid w:val="00317B8C"/>
    <w:rsid w:val="00333277"/>
    <w:rsid w:val="00342F0A"/>
    <w:rsid w:val="00391F02"/>
    <w:rsid w:val="003D6257"/>
    <w:rsid w:val="00424468"/>
    <w:rsid w:val="004853F5"/>
    <w:rsid w:val="00506486"/>
    <w:rsid w:val="00510610"/>
    <w:rsid w:val="0051544C"/>
    <w:rsid w:val="00572CB4"/>
    <w:rsid w:val="00577793"/>
    <w:rsid w:val="005C3D8F"/>
    <w:rsid w:val="005D0CBD"/>
    <w:rsid w:val="005D0E0F"/>
    <w:rsid w:val="0063322D"/>
    <w:rsid w:val="006604BD"/>
    <w:rsid w:val="00670B3F"/>
    <w:rsid w:val="0069280C"/>
    <w:rsid w:val="006B56DC"/>
    <w:rsid w:val="00701126"/>
    <w:rsid w:val="00706BB6"/>
    <w:rsid w:val="00746194"/>
    <w:rsid w:val="00750B33"/>
    <w:rsid w:val="00754D87"/>
    <w:rsid w:val="00766AA9"/>
    <w:rsid w:val="00771AAC"/>
    <w:rsid w:val="00775CF0"/>
    <w:rsid w:val="007848C6"/>
    <w:rsid w:val="0079645A"/>
    <w:rsid w:val="007E010D"/>
    <w:rsid w:val="00815CAC"/>
    <w:rsid w:val="00830419"/>
    <w:rsid w:val="00837C9E"/>
    <w:rsid w:val="00867FE8"/>
    <w:rsid w:val="00871F55"/>
    <w:rsid w:val="0088392D"/>
    <w:rsid w:val="008A0D0E"/>
    <w:rsid w:val="008C233E"/>
    <w:rsid w:val="008D63E1"/>
    <w:rsid w:val="00910D96"/>
    <w:rsid w:val="00911844"/>
    <w:rsid w:val="00925BB7"/>
    <w:rsid w:val="00960EE3"/>
    <w:rsid w:val="00962DC7"/>
    <w:rsid w:val="009705F0"/>
    <w:rsid w:val="009A4D9D"/>
    <w:rsid w:val="009A64DF"/>
    <w:rsid w:val="009C697E"/>
    <w:rsid w:val="009C7A06"/>
    <w:rsid w:val="009D29C6"/>
    <w:rsid w:val="009D3A4E"/>
    <w:rsid w:val="009E2DB2"/>
    <w:rsid w:val="00A03E25"/>
    <w:rsid w:val="00A22384"/>
    <w:rsid w:val="00A54C9A"/>
    <w:rsid w:val="00A57994"/>
    <w:rsid w:val="00A80D5D"/>
    <w:rsid w:val="00AA2E64"/>
    <w:rsid w:val="00AA2E96"/>
    <w:rsid w:val="00AB7AAD"/>
    <w:rsid w:val="00AD4BA1"/>
    <w:rsid w:val="00AE1EDF"/>
    <w:rsid w:val="00B64EDB"/>
    <w:rsid w:val="00B80B16"/>
    <w:rsid w:val="00B816CE"/>
    <w:rsid w:val="00B9453E"/>
    <w:rsid w:val="00BA455E"/>
    <w:rsid w:val="00BA7393"/>
    <w:rsid w:val="00BB19D2"/>
    <w:rsid w:val="00BC430B"/>
    <w:rsid w:val="00BC4A6C"/>
    <w:rsid w:val="00BD49B9"/>
    <w:rsid w:val="00BF52EE"/>
    <w:rsid w:val="00C01471"/>
    <w:rsid w:val="00C14D7D"/>
    <w:rsid w:val="00C17999"/>
    <w:rsid w:val="00C26AA2"/>
    <w:rsid w:val="00C56B83"/>
    <w:rsid w:val="00C92496"/>
    <w:rsid w:val="00C93DFC"/>
    <w:rsid w:val="00CA5A7E"/>
    <w:rsid w:val="00CF61B4"/>
    <w:rsid w:val="00D01209"/>
    <w:rsid w:val="00D052E4"/>
    <w:rsid w:val="00D35742"/>
    <w:rsid w:val="00D35E0E"/>
    <w:rsid w:val="00D4739D"/>
    <w:rsid w:val="00D643AF"/>
    <w:rsid w:val="00D72219"/>
    <w:rsid w:val="00DB3A9F"/>
    <w:rsid w:val="00DC3093"/>
    <w:rsid w:val="00DF28D3"/>
    <w:rsid w:val="00E3163E"/>
    <w:rsid w:val="00E32CDF"/>
    <w:rsid w:val="00E75DFE"/>
    <w:rsid w:val="00E851E8"/>
    <w:rsid w:val="00EC6547"/>
    <w:rsid w:val="00ED2BEC"/>
    <w:rsid w:val="00ED61E4"/>
    <w:rsid w:val="00ED7A9B"/>
    <w:rsid w:val="00EE2CF0"/>
    <w:rsid w:val="00EE496F"/>
    <w:rsid w:val="00F24F4B"/>
    <w:rsid w:val="00F31B01"/>
    <w:rsid w:val="00F342DF"/>
    <w:rsid w:val="00F45EBD"/>
    <w:rsid w:val="00F76107"/>
    <w:rsid w:val="00F83428"/>
    <w:rsid w:val="00F83D9E"/>
    <w:rsid w:val="00FC1390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2F0F8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F0F82"/>
    <w:rPr>
      <w:sz w:val="20"/>
      <w:szCs w:val="20"/>
    </w:rPr>
  </w:style>
  <w:style w:type="character" w:styleId="a6">
    <w:name w:val="footnote reference"/>
    <w:basedOn w:val="a0"/>
    <w:semiHidden/>
    <w:unhideWhenUsed/>
    <w:rsid w:val="002F0F82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EE496F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סיום תו"/>
    <w:basedOn w:val="a0"/>
    <w:link w:val="a7"/>
    <w:uiPriority w:val="99"/>
    <w:rsid w:val="00EE496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E496F"/>
    <w:rPr>
      <w:vertAlign w:val="superscript"/>
    </w:rPr>
  </w:style>
  <w:style w:type="paragraph" w:styleId="aa">
    <w:name w:val="List Paragraph"/>
    <w:basedOn w:val="a"/>
    <w:uiPriority w:val="34"/>
    <w:qFormat/>
    <w:rsid w:val="00D473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D4B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BA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D4B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BA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D4BA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AD4BA1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96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79645A"/>
  </w:style>
  <w:style w:type="paragraph" w:styleId="af4">
    <w:name w:val="footer"/>
    <w:basedOn w:val="a"/>
    <w:link w:val="af5"/>
    <w:uiPriority w:val="99"/>
    <w:unhideWhenUsed/>
    <w:rsid w:val="00796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79645A"/>
  </w:style>
  <w:style w:type="character" w:styleId="Hyperlink">
    <w:name w:val="Hyperlink"/>
    <w:basedOn w:val="a0"/>
    <w:uiPriority w:val="99"/>
    <w:unhideWhenUsed/>
    <w:rsid w:val="009C697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D0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2F0F82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F0F82"/>
    <w:rPr>
      <w:sz w:val="20"/>
      <w:szCs w:val="20"/>
    </w:rPr>
  </w:style>
  <w:style w:type="character" w:styleId="a6">
    <w:name w:val="footnote reference"/>
    <w:basedOn w:val="a0"/>
    <w:semiHidden/>
    <w:unhideWhenUsed/>
    <w:rsid w:val="002F0F82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EE496F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סיום תו"/>
    <w:basedOn w:val="a0"/>
    <w:link w:val="a7"/>
    <w:uiPriority w:val="99"/>
    <w:rsid w:val="00EE496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E496F"/>
    <w:rPr>
      <w:vertAlign w:val="superscript"/>
    </w:rPr>
  </w:style>
  <w:style w:type="paragraph" w:styleId="aa">
    <w:name w:val="List Paragraph"/>
    <w:basedOn w:val="a"/>
    <w:uiPriority w:val="34"/>
    <w:qFormat/>
    <w:rsid w:val="00D473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D4B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BA1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D4B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BA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D4BA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AD4BA1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796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79645A"/>
  </w:style>
  <w:style w:type="paragraph" w:styleId="af4">
    <w:name w:val="footer"/>
    <w:basedOn w:val="a"/>
    <w:link w:val="af5"/>
    <w:uiPriority w:val="99"/>
    <w:unhideWhenUsed/>
    <w:rsid w:val="00796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79645A"/>
  </w:style>
  <w:style w:type="character" w:styleId="Hyperlink">
    <w:name w:val="Hyperlink"/>
    <w:basedOn w:val="a0"/>
    <w:uiPriority w:val="99"/>
    <w:unhideWhenUsed/>
    <w:rsid w:val="009C697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D0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e.chabad.org/library/article_cdo/aid/621423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C8D6-03DD-40B6-BBCC-5180775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678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42</cp:revision>
  <dcterms:created xsi:type="dcterms:W3CDTF">2016-07-25T09:40:00Z</dcterms:created>
  <dcterms:modified xsi:type="dcterms:W3CDTF">2018-07-18T19:14:00Z</dcterms:modified>
</cp:coreProperties>
</file>