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90" w:rsidRDefault="00037C90" w:rsidP="00037C90">
      <w:pPr>
        <w:rPr>
          <w:sz w:val="36"/>
          <w:szCs w:val="36"/>
          <w:rtl/>
        </w:rPr>
      </w:pPr>
      <w:r w:rsidRPr="00037C90">
        <w:rPr>
          <w:rFonts w:hint="cs"/>
          <w:sz w:val="36"/>
          <w:szCs w:val="36"/>
          <w:rtl/>
        </w:rPr>
        <w:t xml:space="preserve">ב"ה </w:t>
      </w:r>
    </w:p>
    <w:p w:rsidR="00037C90" w:rsidRDefault="00037C90" w:rsidP="00037C90">
      <w:pPr>
        <w:jc w:val="center"/>
        <w:rPr>
          <w:sz w:val="36"/>
          <w:szCs w:val="36"/>
          <w:rtl/>
        </w:rPr>
      </w:pPr>
      <w:proofErr w:type="spellStart"/>
      <w:r w:rsidRPr="00037C90">
        <w:rPr>
          <w:rFonts w:hint="cs"/>
          <w:sz w:val="36"/>
          <w:szCs w:val="36"/>
          <w:rtl/>
        </w:rPr>
        <w:t>תוד"ה</w:t>
      </w:r>
      <w:proofErr w:type="spellEnd"/>
      <w:r w:rsidRPr="00037C90">
        <w:rPr>
          <w:rFonts w:hint="cs"/>
          <w:sz w:val="36"/>
          <w:szCs w:val="36"/>
          <w:rtl/>
        </w:rPr>
        <w:t xml:space="preserve"> </w:t>
      </w:r>
      <w:proofErr w:type="spellStart"/>
      <w:r w:rsidRPr="00037C90">
        <w:rPr>
          <w:rFonts w:hint="cs"/>
          <w:sz w:val="36"/>
          <w:szCs w:val="36"/>
          <w:rtl/>
        </w:rPr>
        <w:t>מזבנינן</w:t>
      </w:r>
      <w:proofErr w:type="spellEnd"/>
      <w:r w:rsidRPr="00037C90">
        <w:rPr>
          <w:rFonts w:hint="cs"/>
          <w:sz w:val="36"/>
          <w:szCs w:val="36"/>
          <w:rtl/>
        </w:rPr>
        <w:t xml:space="preserve"> לכוהנים</w:t>
      </w:r>
    </w:p>
    <w:p w:rsidR="00037C90" w:rsidRPr="00BE25EA" w:rsidRDefault="00037C90" w:rsidP="00BE25EA">
      <w:pPr>
        <w:rPr>
          <w:b/>
          <w:bCs/>
          <w:sz w:val="24"/>
          <w:szCs w:val="24"/>
          <w:rtl/>
        </w:rPr>
      </w:pPr>
      <w:r w:rsidRPr="00BE25EA">
        <w:rPr>
          <w:rFonts w:hint="cs"/>
          <w:b/>
          <w:bCs/>
          <w:sz w:val="24"/>
          <w:szCs w:val="24"/>
          <w:rtl/>
        </w:rPr>
        <w:t xml:space="preserve">לשיטת </w:t>
      </w:r>
      <w:proofErr w:type="spellStart"/>
      <w:r w:rsidRPr="00BE25EA">
        <w:rPr>
          <w:rFonts w:hint="cs"/>
          <w:b/>
          <w:bCs/>
          <w:sz w:val="24"/>
          <w:szCs w:val="24"/>
          <w:rtl/>
        </w:rPr>
        <w:t>רבב"ח</w:t>
      </w:r>
      <w:proofErr w:type="spellEnd"/>
      <w:r w:rsidRPr="00BE25EA">
        <w:rPr>
          <w:rFonts w:hint="cs"/>
          <w:b/>
          <w:bCs/>
          <w:sz w:val="24"/>
          <w:szCs w:val="24"/>
          <w:rtl/>
        </w:rPr>
        <w:t xml:space="preserve"> הבעלים יכולים לעשות את הפירות שאצל השומר </w:t>
      </w:r>
      <w:proofErr w:type="spellStart"/>
      <w:r w:rsidRPr="00BE25EA">
        <w:rPr>
          <w:rFonts w:hint="cs"/>
          <w:b/>
          <w:bCs/>
          <w:sz w:val="24"/>
          <w:szCs w:val="24"/>
          <w:rtl/>
        </w:rPr>
        <w:t>תרו"מ</w:t>
      </w:r>
      <w:proofErr w:type="spellEnd"/>
      <w:r w:rsidRPr="00BE25EA">
        <w:rPr>
          <w:rFonts w:hint="cs"/>
          <w:b/>
          <w:bCs/>
          <w:sz w:val="24"/>
          <w:szCs w:val="24"/>
          <w:rtl/>
        </w:rPr>
        <w:t xml:space="preserve"> , ואין צורך לחשוש שמא ימכור השומר ויכשיל את הקונה, במקרה של יותר מכדי חסרונן , כי מוכרן לכהן שמותר באכילת תרומה </w:t>
      </w:r>
      <w:bookmarkStart w:id="0" w:name="_GoBack"/>
      <w:bookmarkEnd w:id="0"/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95"/>
        <w:gridCol w:w="1417"/>
        <w:gridCol w:w="7088"/>
      </w:tblGrid>
      <w:tr w:rsidR="00037C90" w:rsidRPr="00BE25EA" w:rsidTr="00037C90">
        <w:trPr>
          <w:trHeight w:val="1015"/>
        </w:trPr>
        <w:tc>
          <w:tcPr>
            <w:tcW w:w="1395" w:type="dxa"/>
          </w:tcPr>
          <w:p w:rsidR="00037C90" w:rsidRPr="00BE25EA" w:rsidRDefault="00037C90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מתחיל ומסתיים</w:t>
            </w:r>
          </w:p>
        </w:tc>
        <w:tc>
          <w:tcPr>
            <w:tcW w:w="1417" w:type="dxa"/>
          </w:tcPr>
          <w:p w:rsidR="00037C90" w:rsidRPr="00BE25EA" w:rsidRDefault="00037C90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תפקיד </w:t>
            </w:r>
            <w:proofErr w:type="spellStart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הפיסקה</w:t>
            </w:r>
            <w:proofErr w:type="spellEnd"/>
          </w:p>
        </w:tc>
        <w:tc>
          <w:tcPr>
            <w:tcW w:w="7088" w:type="dxa"/>
          </w:tcPr>
          <w:p w:rsidR="00037C90" w:rsidRPr="00BE25EA" w:rsidRDefault="00037C90" w:rsidP="00037C90">
            <w:pPr>
              <w:rPr>
                <w:sz w:val="28"/>
                <w:szCs w:val="28"/>
                <w:rtl/>
              </w:rPr>
            </w:pPr>
            <w:r w:rsidRPr="00BE25EA">
              <w:rPr>
                <w:rFonts w:hint="cs"/>
                <w:sz w:val="28"/>
                <w:szCs w:val="28"/>
                <w:rtl/>
              </w:rPr>
              <w:t>ההסבר</w:t>
            </w:r>
          </w:p>
        </w:tc>
      </w:tr>
      <w:tr w:rsidR="00037C90" w:rsidRPr="00BE25EA" w:rsidTr="00037C90">
        <w:trPr>
          <w:trHeight w:val="1069"/>
        </w:trPr>
        <w:tc>
          <w:tcPr>
            <w:tcW w:w="1395" w:type="dxa"/>
          </w:tcPr>
          <w:p w:rsidR="00037C90" w:rsidRPr="00BE25EA" w:rsidRDefault="00BE25EA" w:rsidP="00037C90">
            <w:pPr>
              <w:rPr>
                <w:b/>
                <w:bCs/>
                <w:sz w:val="28"/>
                <w:szCs w:val="28"/>
                <w:rtl/>
              </w:rPr>
            </w:pPr>
            <w:proofErr w:type="spellStart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ולשמא</w:t>
            </w:r>
            <w:proofErr w:type="spellEnd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 יעשם- יותר מכדי חסרונן</w:t>
            </w:r>
          </w:p>
        </w:tc>
        <w:tc>
          <w:tcPr>
            <w:tcW w:w="1417" w:type="dxa"/>
          </w:tcPr>
          <w:p w:rsidR="00037C90" w:rsidRPr="00BE25EA" w:rsidRDefault="00037C90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הסבר שיטת </w:t>
            </w:r>
            <w:proofErr w:type="spellStart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רבב"ח</w:t>
            </w:r>
            <w:proofErr w:type="spellEnd"/>
          </w:p>
          <w:p w:rsidR="00037C90" w:rsidRPr="00BE25EA" w:rsidRDefault="00037C90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(מהלך גמרא)</w:t>
            </w:r>
          </w:p>
        </w:tc>
        <w:tc>
          <w:tcPr>
            <w:tcW w:w="7088" w:type="dxa"/>
          </w:tcPr>
          <w:p w:rsidR="00037C90" w:rsidRPr="00BE25EA" w:rsidRDefault="00037C90" w:rsidP="00037C90">
            <w:pPr>
              <w:rPr>
                <w:sz w:val="28"/>
                <w:szCs w:val="28"/>
                <w:rtl/>
              </w:rPr>
            </w:pP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לשמא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יפריש הבעלים תרומה לאחר מכירת השומר וממילא יאכל טבל, אין לחשוש, כי יותר מכדי חסרונן לא מצוי ומגיע לאחר זמן רב , וברור לנו שבעה"ב יפריש לפני שיגיע למצב של יותר מכדי חסרונן ומכירתן ע"י השומר</w:t>
            </w:r>
          </w:p>
        </w:tc>
      </w:tr>
      <w:tr w:rsidR="00037C90" w:rsidRPr="00BE25EA" w:rsidTr="00037C90">
        <w:trPr>
          <w:trHeight w:val="985"/>
        </w:trPr>
        <w:tc>
          <w:tcPr>
            <w:tcW w:w="1395" w:type="dxa"/>
          </w:tcPr>
          <w:p w:rsidR="00037C90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E25EA" w:rsidRPr="00BE25EA">
              <w:rPr>
                <w:rFonts w:hint="cs"/>
                <w:b/>
                <w:bCs/>
                <w:sz w:val="28"/>
                <w:szCs w:val="28"/>
                <w:rtl/>
              </w:rPr>
              <w:t>ופריך- לכוהנים</w:t>
            </w:r>
          </w:p>
        </w:tc>
        <w:tc>
          <w:tcPr>
            <w:tcW w:w="1417" w:type="dxa"/>
          </w:tcPr>
          <w:p w:rsidR="00037C90" w:rsidRPr="00BE25EA" w:rsidRDefault="00037C90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שאלת הגמרא</w:t>
            </w:r>
          </w:p>
          <w:p w:rsidR="00037C90" w:rsidRPr="00BE25EA" w:rsidRDefault="00037C90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(מהלך גמרא)</w:t>
            </w:r>
          </w:p>
        </w:tc>
        <w:tc>
          <w:tcPr>
            <w:tcW w:w="7088" w:type="dxa"/>
          </w:tcPr>
          <w:p w:rsidR="00037C90" w:rsidRPr="00BE25EA" w:rsidRDefault="00037C90" w:rsidP="00037C90">
            <w:pPr>
              <w:rPr>
                <w:sz w:val="28"/>
                <w:szCs w:val="28"/>
                <w:rtl/>
              </w:rPr>
            </w:pPr>
            <w:r w:rsidRPr="00BE25EA">
              <w:rPr>
                <w:rFonts w:hint="cs"/>
                <w:sz w:val="28"/>
                <w:szCs w:val="28"/>
                <w:rtl/>
              </w:rPr>
              <w:t xml:space="preserve">אחרי שהבנו את שיטת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רבב"ח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שאין לחשוש לא לבעלים שיאכל טבל ולא לקונה שיאכל תרומה כי מוכר לכוהנים, נשאלת השאלה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מדוע אומר לא ימכור. ממה הוא חושש אם מוכרן לכוהנים?</w:t>
            </w:r>
          </w:p>
        </w:tc>
      </w:tr>
      <w:tr w:rsidR="00037C90" w:rsidRPr="00BE25EA" w:rsidTr="00037C90">
        <w:trPr>
          <w:trHeight w:val="1299"/>
        </w:trPr>
        <w:tc>
          <w:tcPr>
            <w:tcW w:w="1395" w:type="dxa"/>
          </w:tcPr>
          <w:p w:rsidR="00037C90" w:rsidRPr="00BE25EA" w:rsidRDefault="00BE25EA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בכדי - </w:t>
            </w:r>
            <w:proofErr w:type="spellStart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דלזביננהו</w:t>
            </w:r>
            <w:proofErr w:type="spellEnd"/>
          </w:p>
        </w:tc>
        <w:tc>
          <w:tcPr>
            <w:tcW w:w="1417" w:type="dxa"/>
          </w:tcPr>
          <w:p w:rsidR="00037C90" w:rsidRPr="00BE25EA" w:rsidRDefault="00037C90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הסבר השאלה </w:t>
            </w:r>
          </w:p>
        </w:tc>
        <w:tc>
          <w:tcPr>
            <w:tcW w:w="7088" w:type="dxa"/>
          </w:tcPr>
          <w:p w:rsidR="00037C90" w:rsidRPr="00BE25EA" w:rsidRDefault="00037C90" w:rsidP="00037C90">
            <w:pPr>
              <w:rPr>
                <w:sz w:val="28"/>
                <w:szCs w:val="28"/>
                <w:rtl/>
              </w:rPr>
            </w:pPr>
            <w:r w:rsidRPr="00BE25EA">
              <w:rPr>
                <w:rFonts w:hint="cs"/>
                <w:sz w:val="28"/>
                <w:szCs w:val="28"/>
                <w:rtl/>
              </w:rPr>
              <w:t xml:space="preserve">השאלה על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מדוע לא ימכור אין הכוונה בשלב שזה עדיין בכדי חסרונן, כי במקרה כזה ברור שיחשוש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לשמא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המפקיד יאכל טבל </w:t>
            </w:r>
            <w:r w:rsidR="005963ED" w:rsidRPr="00BE25EA">
              <w:rPr>
                <w:rFonts w:hint="cs"/>
                <w:sz w:val="28"/>
                <w:szCs w:val="28"/>
                <w:rtl/>
              </w:rPr>
              <w:t xml:space="preserve">כי זה דבר הרגיל וקורה מהר, אלא שאלת </w:t>
            </w:r>
            <w:proofErr w:type="spellStart"/>
            <w:r w:rsidR="005963ED" w:rsidRPr="00BE25EA">
              <w:rPr>
                <w:rFonts w:hint="cs"/>
                <w:sz w:val="28"/>
                <w:szCs w:val="28"/>
                <w:rtl/>
              </w:rPr>
              <w:t>הגמ</w:t>
            </w:r>
            <w:proofErr w:type="spellEnd"/>
            <w:r w:rsidR="005963ED" w:rsidRPr="00BE25EA">
              <w:rPr>
                <w:rFonts w:hint="cs"/>
                <w:sz w:val="28"/>
                <w:szCs w:val="28"/>
                <w:rtl/>
              </w:rPr>
              <w:t xml:space="preserve">' </w:t>
            </w:r>
            <w:proofErr w:type="spellStart"/>
            <w:r w:rsidR="005963ED" w:rsidRPr="00BE25EA">
              <w:rPr>
                <w:rFonts w:hint="cs"/>
                <w:sz w:val="28"/>
                <w:szCs w:val="28"/>
                <w:rtl/>
              </w:rPr>
              <w:t>לרנב"י</w:t>
            </w:r>
            <w:proofErr w:type="spellEnd"/>
            <w:r w:rsidR="005963ED" w:rsidRPr="00BE25EA">
              <w:rPr>
                <w:rFonts w:hint="cs"/>
                <w:sz w:val="28"/>
                <w:szCs w:val="28"/>
                <w:rtl/>
              </w:rPr>
              <w:t xml:space="preserve"> מדוע לא ימכור ביותר מכדי חסרונן שזה לא מצוי וקורה לאחר זמן רב.</w:t>
            </w:r>
            <w:r w:rsidRPr="00BE25E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</w:tr>
      <w:tr w:rsidR="00037C90" w:rsidRPr="00BE25EA" w:rsidTr="005963ED">
        <w:trPr>
          <w:trHeight w:val="366"/>
        </w:trPr>
        <w:tc>
          <w:tcPr>
            <w:tcW w:w="1395" w:type="dxa"/>
          </w:tcPr>
          <w:p w:rsidR="00037C90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וכי </w:t>
            </w:r>
            <w:proofErr w:type="spellStart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תימא</w:t>
            </w:r>
            <w:proofErr w:type="spellEnd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 הכי </w:t>
            </w:r>
            <w:proofErr w:type="spellStart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נמי</w:t>
            </w:r>
            <w:proofErr w:type="spellEnd"/>
          </w:p>
        </w:tc>
        <w:tc>
          <w:tcPr>
            <w:tcW w:w="1417" w:type="dxa"/>
          </w:tcPr>
          <w:p w:rsidR="00037C90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שאלה</w:t>
            </w:r>
          </w:p>
        </w:tc>
        <w:tc>
          <w:tcPr>
            <w:tcW w:w="7088" w:type="dxa"/>
          </w:tcPr>
          <w:p w:rsidR="00037C90" w:rsidRPr="00BE25EA" w:rsidRDefault="005963ED" w:rsidP="005963ED">
            <w:pPr>
              <w:rPr>
                <w:sz w:val="28"/>
                <w:szCs w:val="28"/>
                <w:rtl/>
              </w:rPr>
            </w:pPr>
            <w:r w:rsidRPr="00BE25EA">
              <w:rPr>
                <w:rFonts w:hint="cs"/>
                <w:sz w:val="28"/>
                <w:szCs w:val="28"/>
                <w:rtl/>
              </w:rPr>
              <w:t xml:space="preserve">אולי באמת מסכים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שיותר מכדי חסרונן לדעת ת"ק  מוכרן</w:t>
            </w:r>
          </w:p>
        </w:tc>
      </w:tr>
      <w:tr w:rsidR="00037C90" w:rsidRPr="00BE25EA" w:rsidTr="005963ED">
        <w:trPr>
          <w:trHeight w:val="955"/>
        </w:trPr>
        <w:tc>
          <w:tcPr>
            <w:tcW w:w="1395" w:type="dxa"/>
          </w:tcPr>
          <w:p w:rsidR="00037C90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והא אמרת </w:t>
            </w:r>
            <w:proofErr w:type="spellStart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דרב</w:t>
            </w:r>
            <w:proofErr w:type="spellEnd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 נחמן ודאי פליג</w:t>
            </w:r>
          </w:p>
        </w:tc>
        <w:tc>
          <w:tcPr>
            <w:tcW w:w="1417" w:type="dxa"/>
          </w:tcPr>
          <w:p w:rsidR="00037C90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תשובה</w:t>
            </w:r>
          </w:p>
        </w:tc>
        <w:tc>
          <w:tcPr>
            <w:tcW w:w="7088" w:type="dxa"/>
          </w:tcPr>
          <w:p w:rsidR="00037C90" w:rsidRPr="00BE25EA" w:rsidRDefault="005963ED" w:rsidP="00037C90">
            <w:pPr>
              <w:rPr>
                <w:sz w:val="28"/>
                <w:szCs w:val="28"/>
                <w:rtl/>
              </w:rPr>
            </w:pPr>
            <w:r w:rsidRPr="00BE25EA">
              <w:rPr>
                <w:rFonts w:hint="cs"/>
                <w:sz w:val="28"/>
                <w:szCs w:val="28"/>
                <w:rtl/>
              </w:rPr>
              <w:t xml:space="preserve">אי אפשר לומר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שרנב"י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מסכים שביותר מכדי חסרונן מוכרן, שהרי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הגמ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' אמרה בפירוש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אדרב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נחמן ודאי פליג. (כלומר ברור לנו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שרנב"י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חולק עכל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רבב"ח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037C90" w:rsidRPr="00BE25EA" w:rsidTr="005963ED">
        <w:trPr>
          <w:trHeight w:val="827"/>
        </w:trPr>
        <w:tc>
          <w:tcPr>
            <w:tcW w:w="1395" w:type="dxa"/>
          </w:tcPr>
          <w:p w:rsidR="00037C90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ומשני- שכיח</w:t>
            </w:r>
          </w:p>
        </w:tc>
        <w:tc>
          <w:tcPr>
            <w:tcW w:w="1417" w:type="dxa"/>
          </w:tcPr>
          <w:p w:rsidR="00037C90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תשובת הגמרא</w:t>
            </w:r>
          </w:p>
          <w:p w:rsidR="005963ED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מהלך גמרא)</w:t>
            </w:r>
          </w:p>
        </w:tc>
        <w:tc>
          <w:tcPr>
            <w:tcW w:w="7088" w:type="dxa"/>
          </w:tcPr>
          <w:p w:rsidR="00037C90" w:rsidRPr="00BE25EA" w:rsidRDefault="005963ED" w:rsidP="00037C90">
            <w:pPr>
              <w:rPr>
                <w:sz w:val="28"/>
                <w:szCs w:val="28"/>
                <w:rtl/>
              </w:rPr>
            </w:pPr>
            <w:r w:rsidRPr="00BE25EA">
              <w:rPr>
                <w:rFonts w:hint="cs"/>
                <w:sz w:val="28"/>
                <w:szCs w:val="28"/>
                <w:rtl/>
              </w:rPr>
              <w:t xml:space="preserve">שיטת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שיותר מכדי חסרונן מצוי וקורה מהר ואולי השומר ימכור וכשהמפקיד יפריש כבר אין פירות ונמצא שהמפקיד אוכל טבל</w:t>
            </w:r>
          </w:p>
        </w:tc>
      </w:tr>
      <w:tr w:rsidR="00037C90" w:rsidRPr="00BE25EA" w:rsidTr="00BE25EA">
        <w:trPr>
          <w:trHeight w:val="712"/>
        </w:trPr>
        <w:tc>
          <w:tcPr>
            <w:tcW w:w="1395" w:type="dxa"/>
          </w:tcPr>
          <w:p w:rsidR="00037C90" w:rsidRPr="00BE25EA" w:rsidRDefault="00BE25EA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 xml:space="preserve">והקשה </w:t>
            </w:r>
            <w:proofErr w:type="spellStart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ריב"ם</w:t>
            </w:r>
            <w:proofErr w:type="spellEnd"/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-לרב כהנא</w:t>
            </w:r>
          </w:p>
        </w:tc>
        <w:tc>
          <w:tcPr>
            <w:tcW w:w="1417" w:type="dxa"/>
          </w:tcPr>
          <w:p w:rsidR="00037C90" w:rsidRPr="00BE25EA" w:rsidRDefault="005963ED" w:rsidP="00037C90">
            <w:pPr>
              <w:rPr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שאלה</w:t>
            </w:r>
          </w:p>
        </w:tc>
        <w:tc>
          <w:tcPr>
            <w:tcW w:w="7088" w:type="dxa"/>
          </w:tcPr>
          <w:p w:rsidR="00037C90" w:rsidRPr="00BE25EA" w:rsidRDefault="005963ED" w:rsidP="00037C90">
            <w:pPr>
              <w:rPr>
                <w:sz w:val="28"/>
                <w:szCs w:val="28"/>
                <w:rtl/>
              </w:rPr>
            </w:pPr>
            <w:r w:rsidRPr="00BE25EA">
              <w:rPr>
                <w:rFonts w:hint="cs"/>
                <w:sz w:val="28"/>
                <w:szCs w:val="28"/>
                <w:rtl/>
              </w:rPr>
              <w:t xml:space="preserve">מקשה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ריב"ם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E25EA" w:rsidRPr="00BE25EA">
              <w:rPr>
                <w:rFonts w:hint="cs"/>
                <w:sz w:val="28"/>
                <w:szCs w:val="28"/>
                <w:rtl/>
              </w:rPr>
              <w:t xml:space="preserve">מניין לגמרא שרב נחמן חולק על </w:t>
            </w:r>
            <w:proofErr w:type="spellStart"/>
            <w:r w:rsidR="00BE25EA" w:rsidRPr="00BE25EA">
              <w:rPr>
                <w:rFonts w:hint="cs"/>
                <w:sz w:val="28"/>
                <w:szCs w:val="28"/>
                <w:rtl/>
              </w:rPr>
              <w:t>רבב"ח</w:t>
            </w:r>
            <w:proofErr w:type="spellEnd"/>
            <w:r w:rsidR="00BE25EA" w:rsidRPr="00BE25EA">
              <w:rPr>
                <w:rFonts w:hint="cs"/>
                <w:sz w:val="28"/>
                <w:szCs w:val="28"/>
                <w:rtl/>
              </w:rPr>
              <w:t xml:space="preserve"> אולי נאמר </w:t>
            </w:r>
            <w:proofErr w:type="spellStart"/>
            <w:r w:rsidR="00BE25EA" w:rsidRPr="00BE25EA">
              <w:rPr>
                <w:rFonts w:hint="cs"/>
                <w:sz w:val="28"/>
                <w:szCs w:val="28"/>
                <w:rtl/>
              </w:rPr>
              <w:t>שרנב"י</w:t>
            </w:r>
            <w:proofErr w:type="spellEnd"/>
            <w:r w:rsidR="00BE25EA" w:rsidRPr="00BE25EA">
              <w:rPr>
                <w:rFonts w:hint="cs"/>
                <w:sz w:val="28"/>
                <w:szCs w:val="28"/>
                <w:rtl/>
              </w:rPr>
              <w:t xml:space="preserve"> מודה שביותר מכדי חסרונן מוכרן כיון שזה לא מצוי (כמו </w:t>
            </w:r>
            <w:proofErr w:type="spellStart"/>
            <w:r w:rsidR="00BE25EA" w:rsidRPr="00BE25EA">
              <w:rPr>
                <w:rFonts w:hint="cs"/>
                <w:sz w:val="28"/>
                <w:szCs w:val="28"/>
                <w:rtl/>
              </w:rPr>
              <w:t>רבב"ח</w:t>
            </w:r>
            <w:proofErr w:type="spellEnd"/>
            <w:r w:rsidR="00BE25EA" w:rsidRPr="00BE25EA">
              <w:rPr>
                <w:rFonts w:hint="cs"/>
                <w:sz w:val="28"/>
                <w:szCs w:val="28"/>
                <w:rtl/>
              </w:rPr>
              <w:t>)</w:t>
            </w:r>
          </w:p>
        </w:tc>
      </w:tr>
      <w:tr w:rsidR="00BE25EA" w:rsidRPr="00BE25EA" w:rsidTr="00BE25EA">
        <w:trPr>
          <w:trHeight w:val="712"/>
        </w:trPr>
        <w:tc>
          <w:tcPr>
            <w:tcW w:w="1395" w:type="dxa"/>
          </w:tcPr>
          <w:p w:rsidR="00BE25EA" w:rsidRPr="00BE25EA" w:rsidRDefault="00BE25EA" w:rsidP="00037C9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ותירץ ר"ת ע</w:t>
            </w: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ד הסוף</w:t>
            </w:r>
          </w:p>
        </w:tc>
        <w:tc>
          <w:tcPr>
            <w:tcW w:w="1417" w:type="dxa"/>
          </w:tcPr>
          <w:p w:rsidR="00BE25EA" w:rsidRPr="00BE25EA" w:rsidRDefault="00BE25EA" w:rsidP="00037C90">
            <w:pPr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BE25EA">
              <w:rPr>
                <w:rFonts w:hint="cs"/>
                <w:b/>
                <w:bCs/>
                <w:sz w:val="28"/>
                <w:szCs w:val="28"/>
                <w:rtl/>
              </w:rPr>
              <w:t>תירוץ</w:t>
            </w:r>
          </w:p>
        </w:tc>
        <w:tc>
          <w:tcPr>
            <w:tcW w:w="7088" w:type="dxa"/>
          </w:tcPr>
          <w:p w:rsidR="00BE25EA" w:rsidRPr="00BE25EA" w:rsidRDefault="00BE25EA" w:rsidP="00037C90">
            <w:pPr>
              <w:rPr>
                <w:rFonts w:hint="cs"/>
                <w:sz w:val="28"/>
                <w:szCs w:val="28"/>
                <w:rtl/>
              </w:rPr>
            </w:pPr>
            <w:r w:rsidRPr="00BE25EA">
              <w:rPr>
                <w:rFonts w:hint="cs"/>
                <w:sz w:val="28"/>
                <w:szCs w:val="28"/>
                <w:rtl/>
              </w:rPr>
              <w:t xml:space="preserve">מסביר ר"ת שברור לנו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שרנב"י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חולק על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רבב"ח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. שהרי במשנתנו נאמר פירות (כולל פשתן שאינו חייב במעשרות ופירות שכבר עושרו) שאין לחשוש שמא יעשה המפקיד תרומה ומדוע אין למוכרן לשיטת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, חייבים לומר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שרנב"י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מסכים עם רב כהנא שאין למכור כי אדם מעדיף את שלו.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ןאם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מסכים עם רב כהנא מדוע מביא טעם נוסף שמא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עשאן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בעה"ב ? מוכרחים לומר שבא להוסיף על רב כהנא שלשיטתו ביותר מכדי חסרונן מוכרן ובא </w:t>
            </w:r>
            <w:proofErr w:type="spellStart"/>
            <w:r w:rsidRPr="00BE25EA">
              <w:rPr>
                <w:rFonts w:hint="cs"/>
                <w:sz w:val="28"/>
                <w:szCs w:val="28"/>
                <w:rtl/>
              </w:rPr>
              <w:t>רנב"י</w:t>
            </w:r>
            <w:proofErr w:type="spellEnd"/>
            <w:r w:rsidRPr="00BE25EA">
              <w:rPr>
                <w:rFonts w:hint="cs"/>
                <w:sz w:val="28"/>
                <w:szCs w:val="28"/>
                <w:rtl/>
              </w:rPr>
              <w:t xml:space="preserve"> לומר שגם ביותר מכדי חסרונן לא מוכר, וזאת מהסיבה שלדעתו זה מצוי וקורה מהר ושמא יאכל המפקיד טבל</w:t>
            </w:r>
          </w:p>
        </w:tc>
      </w:tr>
    </w:tbl>
    <w:p w:rsidR="00037C90" w:rsidRPr="00BE25EA" w:rsidRDefault="00037C90" w:rsidP="00037C90">
      <w:pPr>
        <w:rPr>
          <w:sz w:val="28"/>
          <w:szCs w:val="28"/>
          <w:rtl/>
        </w:rPr>
      </w:pPr>
    </w:p>
    <w:p w:rsidR="00037C90" w:rsidRDefault="00037C90" w:rsidP="00037C90">
      <w:pPr>
        <w:rPr>
          <w:rtl/>
        </w:rPr>
      </w:pPr>
    </w:p>
    <w:p w:rsidR="00037C90" w:rsidRDefault="00037C90" w:rsidP="00037C90">
      <w:pPr>
        <w:rPr>
          <w:rtl/>
        </w:rPr>
      </w:pPr>
    </w:p>
    <w:p w:rsidR="00037C90" w:rsidRDefault="00037C90" w:rsidP="00037C90">
      <w:pPr>
        <w:rPr>
          <w:rtl/>
        </w:rPr>
      </w:pPr>
    </w:p>
    <w:p w:rsidR="00037C90" w:rsidRDefault="00037C90" w:rsidP="00037C90">
      <w:pPr>
        <w:rPr>
          <w:rtl/>
        </w:rPr>
      </w:pPr>
    </w:p>
    <w:p w:rsidR="0025129A" w:rsidRDefault="0025129A">
      <w:pPr>
        <w:rPr>
          <w:rtl/>
        </w:rPr>
      </w:pPr>
    </w:p>
    <w:p w:rsidR="00037C90" w:rsidRDefault="00037C90">
      <w:pPr>
        <w:rPr>
          <w:rtl/>
        </w:rPr>
      </w:pPr>
    </w:p>
    <w:p w:rsidR="00037C90" w:rsidRDefault="00037C90">
      <w:pPr>
        <w:rPr>
          <w:rtl/>
        </w:rPr>
      </w:pPr>
    </w:p>
    <w:p w:rsidR="00037C90" w:rsidRDefault="00037C90">
      <w:pPr>
        <w:rPr>
          <w:rtl/>
        </w:rPr>
      </w:pPr>
    </w:p>
    <w:p w:rsidR="00037C90" w:rsidRDefault="00037C90">
      <w:pPr>
        <w:rPr>
          <w:rFonts w:hint="cs"/>
          <w:rtl/>
        </w:rPr>
      </w:pPr>
    </w:p>
    <w:p w:rsidR="00037C90" w:rsidRDefault="00037C90"/>
    <w:sectPr w:rsidR="00037C90" w:rsidSect="00037C9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90"/>
    <w:rsid w:val="00037C90"/>
    <w:rsid w:val="0025129A"/>
    <w:rsid w:val="004954ED"/>
    <w:rsid w:val="005963ED"/>
    <w:rsid w:val="00B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1181E-EEA3-4412-A89D-EAD31196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333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israel220@gmail.com</dc:creator>
  <cp:keywords/>
  <dc:description/>
  <cp:lastModifiedBy>israel220@gmail.com</cp:lastModifiedBy>
  <cp:revision>1</cp:revision>
  <dcterms:created xsi:type="dcterms:W3CDTF">2021-01-27T20:24:00Z</dcterms:created>
  <dcterms:modified xsi:type="dcterms:W3CDTF">2021-01-27T21:20:00Z</dcterms:modified>
</cp:coreProperties>
</file>